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04C80">
      <w:pPr>
        <w:jc w:val="center"/>
        <w:rPr>
          <w:rFonts w:hint="eastAsia" w:ascii="仿宋" w:hAnsi="仿宋" w:eastAsia="仿宋"/>
          <w:sz w:val="48"/>
          <w:szCs w:val="44"/>
        </w:rPr>
      </w:pPr>
    </w:p>
    <w:p w14:paraId="351BEAC2">
      <w:pPr>
        <w:jc w:val="center"/>
        <w:rPr>
          <w:rFonts w:hint="eastAsia" w:ascii="仿宋" w:hAnsi="仿宋" w:eastAsia="仿宋"/>
          <w:sz w:val="48"/>
          <w:szCs w:val="44"/>
        </w:rPr>
      </w:pPr>
    </w:p>
    <w:p w14:paraId="3D62F71B">
      <w:pPr>
        <w:jc w:val="center"/>
        <w:rPr>
          <w:rFonts w:hint="eastAsia" w:ascii="仿宋" w:hAnsi="仿宋" w:eastAsia="仿宋"/>
          <w:color w:val="000000"/>
          <w:sz w:val="96"/>
          <w:szCs w:val="72"/>
        </w:rPr>
      </w:pPr>
    </w:p>
    <w:p w14:paraId="1DEAE883">
      <w:pPr>
        <w:pStyle w:val="43"/>
        <w:rPr>
          <w:rFonts w:hint="eastAsia"/>
        </w:rPr>
      </w:pPr>
    </w:p>
    <w:p w14:paraId="25E0F4D6">
      <w:pPr>
        <w:pStyle w:val="43"/>
        <w:rPr>
          <w:rFonts w:hint="eastAsia"/>
        </w:rPr>
      </w:pPr>
    </w:p>
    <w:p w14:paraId="7655465D">
      <w:pPr>
        <w:spacing w:line="300" w:lineRule="auto"/>
        <w:jc w:val="center"/>
        <w:rPr>
          <w:rFonts w:hint="eastAsia" w:ascii="华文中宋" w:hAnsi="华文中宋" w:eastAsia="华文中宋"/>
          <w:bCs/>
          <w:color w:val="000000"/>
          <w:sz w:val="56"/>
          <w:szCs w:val="52"/>
        </w:rPr>
      </w:pPr>
      <w:r>
        <w:rPr>
          <w:rFonts w:hint="eastAsia" w:ascii="华文中宋" w:hAnsi="华文中宋" w:eastAsia="华文中宋"/>
          <w:bCs/>
          <w:color w:val="000000"/>
          <w:sz w:val="56"/>
          <w:szCs w:val="52"/>
        </w:rPr>
        <w:t>竞争性磋商文件</w:t>
      </w:r>
    </w:p>
    <w:p w14:paraId="068E231F">
      <w:pPr>
        <w:spacing w:line="560" w:lineRule="exact"/>
        <w:jc w:val="center"/>
        <w:rPr>
          <w:rFonts w:hint="eastAsia" w:ascii="仿宋" w:hAnsi="仿宋" w:eastAsia="仿宋"/>
          <w:color w:val="000000"/>
          <w:sz w:val="32"/>
          <w:szCs w:val="28"/>
        </w:rPr>
      </w:pPr>
      <w:r>
        <w:rPr>
          <w:rFonts w:hint="eastAsia" w:ascii="仿宋" w:hAnsi="仿宋" w:eastAsia="仿宋"/>
          <w:color w:val="000000"/>
          <w:sz w:val="32"/>
          <w:szCs w:val="28"/>
        </w:rPr>
        <w:t>（服务）</w:t>
      </w:r>
    </w:p>
    <w:p w14:paraId="1C78BE6C">
      <w:pPr>
        <w:spacing w:line="560" w:lineRule="exact"/>
        <w:jc w:val="center"/>
        <w:rPr>
          <w:rFonts w:hint="eastAsia" w:ascii="仿宋" w:hAnsi="仿宋" w:eastAsia="仿宋"/>
          <w:color w:val="000000"/>
          <w:sz w:val="32"/>
          <w:szCs w:val="28"/>
        </w:rPr>
      </w:pPr>
    </w:p>
    <w:p w14:paraId="440584BB">
      <w:pPr>
        <w:spacing w:line="560" w:lineRule="exact"/>
        <w:jc w:val="center"/>
        <w:rPr>
          <w:rFonts w:hint="eastAsia" w:ascii="仿宋" w:hAnsi="仿宋" w:eastAsia="仿宋"/>
          <w:color w:val="000000"/>
          <w:sz w:val="32"/>
          <w:szCs w:val="28"/>
        </w:rPr>
      </w:pPr>
    </w:p>
    <w:p w14:paraId="182F0A83">
      <w:pPr>
        <w:spacing w:line="560" w:lineRule="exact"/>
        <w:jc w:val="center"/>
        <w:rPr>
          <w:rFonts w:hint="eastAsia" w:ascii="仿宋" w:hAnsi="仿宋" w:eastAsia="仿宋"/>
          <w:color w:val="000000"/>
          <w:sz w:val="32"/>
          <w:szCs w:val="28"/>
        </w:rPr>
      </w:pPr>
    </w:p>
    <w:p w14:paraId="47288DA2">
      <w:pPr>
        <w:spacing w:line="560" w:lineRule="exact"/>
        <w:jc w:val="center"/>
        <w:rPr>
          <w:rFonts w:hint="eastAsia" w:ascii="仿宋" w:hAnsi="仿宋" w:eastAsia="仿宋"/>
          <w:color w:val="000000"/>
          <w:sz w:val="32"/>
          <w:szCs w:val="28"/>
        </w:rPr>
      </w:pPr>
      <w:r>
        <w:rPr>
          <w:rFonts w:hint="eastAsia" w:ascii="仿宋" w:hAnsi="仿宋" w:eastAsia="仿宋"/>
          <w:color w:val="000000"/>
          <w:sz w:val="32"/>
          <w:szCs w:val="28"/>
        </w:rPr>
        <w:t>项目编号：</w:t>
      </w:r>
      <w:r>
        <w:rPr>
          <w:rFonts w:hint="eastAsia" w:ascii="仿宋" w:hAnsi="仿宋" w:eastAsia="仿宋"/>
          <w:color w:val="000000"/>
          <w:sz w:val="32"/>
          <w:szCs w:val="28"/>
          <w:lang w:eastAsia="zh-CN"/>
        </w:rPr>
        <w:t>ASW135C2024FW0135</w:t>
      </w:r>
      <w:r>
        <w:rPr>
          <w:rFonts w:hint="eastAsia" w:ascii="仿宋" w:hAnsi="仿宋" w:eastAsia="仿宋"/>
          <w:color w:val="000000"/>
          <w:sz w:val="32"/>
          <w:szCs w:val="28"/>
        </w:rPr>
        <w:t xml:space="preserve"> </w:t>
      </w:r>
    </w:p>
    <w:p w14:paraId="4F77AD5E">
      <w:pPr>
        <w:spacing w:line="560" w:lineRule="exact"/>
        <w:jc w:val="center"/>
        <w:rPr>
          <w:rFonts w:hint="eastAsia" w:ascii="仿宋" w:hAnsi="仿宋" w:eastAsia="仿宋"/>
          <w:color w:val="000000"/>
          <w:sz w:val="32"/>
          <w:szCs w:val="28"/>
        </w:rPr>
      </w:pPr>
      <w:r>
        <w:rPr>
          <w:rFonts w:hint="eastAsia" w:ascii="仿宋" w:hAnsi="仿宋" w:eastAsia="仿宋"/>
          <w:color w:val="000000"/>
          <w:sz w:val="32"/>
          <w:szCs w:val="28"/>
        </w:rPr>
        <w:t>项目名称：</w:t>
      </w:r>
      <w:r>
        <w:rPr>
          <w:rFonts w:hint="eastAsia" w:ascii="仿宋" w:hAnsi="仿宋" w:eastAsia="仿宋"/>
          <w:color w:val="000000"/>
          <w:sz w:val="32"/>
          <w:szCs w:val="28"/>
          <w:lang w:val="en-US" w:eastAsia="zh-CN"/>
        </w:rPr>
        <w:t>芜湖市总工会庆国庆全市职工文艺汇演演出服务采购</w:t>
      </w:r>
    </w:p>
    <w:p w14:paraId="7F11AE14">
      <w:pPr>
        <w:spacing w:line="560" w:lineRule="exact"/>
        <w:jc w:val="center"/>
        <w:rPr>
          <w:rFonts w:hint="eastAsia" w:ascii="仿宋" w:hAnsi="仿宋" w:eastAsia="仿宋"/>
          <w:color w:val="000000"/>
          <w:sz w:val="32"/>
          <w:szCs w:val="28"/>
          <w:lang w:eastAsia="zh-CN"/>
        </w:rPr>
      </w:pPr>
    </w:p>
    <w:p w14:paraId="672A8C58">
      <w:pPr>
        <w:spacing w:line="560" w:lineRule="exact"/>
        <w:jc w:val="center"/>
        <w:rPr>
          <w:rFonts w:hint="eastAsia" w:ascii="仿宋" w:hAnsi="仿宋" w:eastAsia="仿宋"/>
          <w:color w:val="000000"/>
          <w:sz w:val="32"/>
          <w:szCs w:val="28"/>
        </w:rPr>
      </w:pPr>
    </w:p>
    <w:p w14:paraId="6275770C">
      <w:pPr>
        <w:spacing w:line="560" w:lineRule="exact"/>
        <w:jc w:val="center"/>
        <w:rPr>
          <w:rFonts w:hint="eastAsia" w:ascii="仿宋" w:hAnsi="仿宋" w:eastAsia="仿宋"/>
          <w:color w:val="000000"/>
          <w:sz w:val="32"/>
          <w:szCs w:val="28"/>
        </w:rPr>
      </w:pPr>
    </w:p>
    <w:p w14:paraId="13B009AB">
      <w:pPr>
        <w:spacing w:line="560" w:lineRule="exact"/>
        <w:jc w:val="center"/>
        <w:rPr>
          <w:rFonts w:hint="eastAsia" w:ascii="仿宋" w:hAnsi="仿宋" w:eastAsia="仿宋"/>
          <w:color w:val="000000"/>
          <w:sz w:val="32"/>
          <w:szCs w:val="28"/>
        </w:rPr>
      </w:pPr>
    </w:p>
    <w:p w14:paraId="74646AE5">
      <w:pPr>
        <w:spacing w:line="560" w:lineRule="exact"/>
        <w:jc w:val="center"/>
        <w:rPr>
          <w:rFonts w:hint="eastAsia" w:ascii="仿宋" w:hAnsi="仿宋" w:eastAsia="仿宋"/>
          <w:color w:val="000000"/>
          <w:sz w:val="32"/>
          <w:szCs w:val="28"/>
        </w:rPr>
      </w:pPr>
    </w:p>
    <w:p w14:paraId="589D2A77">
      <w:pPr>
        <w:rPr>
          <w:rFonts w:hint="eastAsia" w:ascii="仿宋" w:hAnsi="仿宋" w:eastAsia="仿宋"/>
          <w:color w:val="000000"/>
          <w:sz w:val="32"/>
          <w:szCs w:val="28"/>
        </w:rPr>
      </w:pPr>
    </w:p>
    <w:p w14:paraId="4F07D85D">
      <w:pPr>
        <w:pStyle w:val="18"/>
        <w:ind w:left="1260"/>
        <w:rPr>
          <w:rFonts w:hint="eastAsia" w:ascii="仿宋" w:hAnsi="仿宋" w:eastAsia="仿宋"/>
          <w:color w:val="000000"/>
        </w:rPr>
      </w:pPr>
    </w:p>
    <w:p w14:paraId="48BA52BC">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采购人：</w:t>
      </w:r>
      <w:r>
        <w:rPr>
          <w:rFonts w:hint="eastAsia" w:ascii="仿宋" w:hAnsi="仿宋" w:eastAsia="仿宋"/>
          <w:color w:val="000000"/>
          <w:sz w:val="28"/>
          <w:szCs w:val="28"/>
          <w:u w:val="single"/>
          <w:lang w:eastAsia="zh-CN"/>
        </w:rPr>
        <w:t>芜湖市总工会</w:t>
      </w:r>
    </w:p>
    <w:p w14:paraId="21DA5A87">
      <w:pPr>
        <w:spacing w:line="360" w:lineRule="auto"/>
        <w:jc w:val="center"/>
        <w:rPr>
          <w:rFonts w:hint="eastAsia" w:ascii="仿宋" w:hAnsi="仿宋" w:eastAsia="仿宋"/>
          <w:color w:val="000000"/>
          <w:sz w:val="28"/>
          <w:szCs w:val="28"/>
        </w:rPr>
      </w:pPr>
      <w:r>
        <w:rPr>
          <w:rFonts w:hint="eastAsia" w:ascii="仿宋" w:hAnsi="仿宋" w:eastAsia="仿宋"/>
          <w:color w:val="000000"/>
          <w:sz w:val="28"/>
          <w:szCs w:val="28"/>
        </w:rPr>
        <w:t>采购代理机构：</w:t>
      </w:r>
      <w:r>
        <w:rPr>
          <w:rFonts w:hint="eastAsia" w:ascii="仿宋" w:hAnsi="仿宋" w:eastAsia="仿宋"/>
          <w:color w:val="000000"/>
          <w:sz w:val="28"/>
          <w:szCs w:val="28"/>
          <w:u w:val="single"/>
        </w:rPr>
        <w:t>安徽苏柏亚工程项目管理有限公司</w:t>
      </w:r>
    </w:p>
    <w:p w14:paraId="1BA759AF">
      <w:pPr>
        <w:jc w:val="center"/>
        <w:rPr>
          <w:rFonts w:hint="eastAsia" w:ascii="仿宋" w:hAnsi="仿宋" w:eastAsia="仿宋"/>
          <w:color w:val="000000"/>
          <w:sz w:val="32"/>
          <w:szCs w:val="28"/>
        </w:rPr>
      </w:pPr>
      <w:r>
        <w:rPr>
          <w:rFonts w:hint="eastAsia" w:ascii="仿宋" w:hAnsi="仿宋" w:eastAsia="仿宋"/>
          <w:color w:val="000000"/>
          <w:sz w:val="32"/>
          <w:szCs w:val="28"/>
        </w:rPr>
        <w:t>202</w:t>
      </w:r>
      <w:r>
        <w:rPr>
          <w:rFonts w:hint="eastAsia" w:ascii="仿宋" w:hAnsi="仿宋" w:eastAsia="仿宋"/>
          <w:color w:val="000000"/>
          <w:sz w:val="32"/>
          <w:szCs w:val="28"/>
          <w:lang w:val="en-US" w:eastAsia="zh-CN"/>
        </w:rPr>
        <w:t>4</w:t>
      </w:r>
      <w:r>
        <w:rPr>
          <w:rFonts w:hint="eastAsia" w:ascii="仿宋" w:hAnsi="仿宋" w:eastAsia="仿宋"/>
          <w:color w:val="000000"/>
          <w:sz w:val="32"/>
          <w:szCs w:val="28"/>
        </w:rPr>
        <w:t>年</w:t>
      </w:r>
      <w:r>
        <w:rPr>
          <w:rFonts w:hint="eastAsia" w:ascii="仿宋" w:hAnsi="仿宋" w:eastAsia="仿宋"/>
          <w:color w:val="000000"/>
          <w:sz w:val="32"/>
          <w:szCs w:val="28"/>
          <w:lang w:val="en-US" w:eastAsia="zh-CN"/>
        </w:rPr>
        <w:t>8</w:t>
      </w:r>
      <w:r>
        <w:rPr>
          <w:rFonts w:hint="eastAsia" w:ascii="仿宋" w:hAnsi="仿宋" w:eastAsia="仿宋"/>
          <w:color w:val="000000"/>
          <w:sz w:val="32"/>
          <w:szCs w:val="28"/>
        </w:rPr>
        <w:t>月</w:t>
      </w:r>
      <w:r>
        <w:rPr>
          <w:rFonts w:hint="eastAsia" w:ascii="仿宋" w:hAnsi="仿宋" w:eastAsia="仿宋"/>
          <w:color w:val="000000"/>
          <w:sz w:val="32"/>
          <w:szCs w:val="28"/>
          <w:lang w:val="en-US" w:eastAsia="zh-CN"/>
        </w:rPr>
        <w:t>22</w:t>
      </w:r>
      <w:r>
        <w:rPr>
          <w:rFonts w:hint="eastAsia" w:ascii="仿宋" w:hAnsi="仿宋" w:eastAsia="仿宋"/>
          <w:color w:val="000000"/>
          <w:sz w:val="32"/>
          <w:szCs w:val="28"/>
        </w:rPr>
        <w:t>日</w:t>
      </w:r>
    </w:p>
    <w:p w14:paraId="4C657DCA">
      <w:pPr>
        <w:spacing w:line="500" w:lineRule="exact"/>
        <w:jc w:val="center"/>
        <w:rPr>
          <w:rFonts w:hint="eastAsia" w:ascii="仿宋" w:hAnsi="仿宋" w:eastAsia="仿宋"/>
          <w:b/>
          <w:bCs/>
          <w:color w:val="000000"/>
          <w:sz w:val="44"/>
          <w:szCs w:val="44"/>
        </w:rPr>
      </w:pPr>
      <w:r>
        <w:rPr>
          <w:rFonts w:hint="eastAsia" w:ascii="仿宋" w:hAnsi="仿宋" w:eastAsia="仿宋"/>
          <w:b/>
          <w:bCs/>
          <w:color w:val="000000"/>
          <w:sz w:val="44"/>
          <w:szCs w:val="44"/>
        </w:rPr>
        <w:br w:type="page"/>
      </w:r>
      <w:r>
        <w:rPr>
          <w:rFonts w:hint="eastAsia" w:ascii="仿宋" w:hAnsi="仿宋" w:eastAsia="仿宋"/>
          <w:b/>
          <w:bCs/>
          <w:color w:val="000000"/>
          <w:sz w:val="44"/>
          <w:szCs w:val="44"/>
        </w:rPr>
        <w:t>目录</w:t>
      </w:r>
    </w:p>
    <w:p w14:paraId="665D3E61">
      <w:pPr>
        <w:spacing w:line="500" w:lineRule="exact"/>
        <w:jc w:val="center"/>
        <w:rPr>
          <w:rFonts w:hint="eastAsia" w:ascii="仿宋" w:hAnsi="仿宋" w:eastAsia="仿宋"/>
          <w:b/>
          <w:bCs/>
          <w:color w:val="000000"/>
          <w:sz w:val="44"/>
          <w:szCs w:val="44"/>
        </w:rPr>
      </w:pPr>
    </w:p>
    <w:p w14:paraId="39A82CB3">
      <w:pPr>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第一章</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\l "_Toc438648485"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 xml:space="preserve"> 竞争性磋商公告</w:t>
      </w:r>
      <w:r>
        <w:rPr>
          <w:rFonts w:hint="eastAsia" w:ascii="仿宋" w:hAnsi="仿宋" w:eastAsia="仿宋"/>
          <w:color w:val="000000"/>
          <w:sz w:val="28"/>
          <w:szCs w:val="28"/>
        </w:rPr>
        <w:fldChar w:fldCharType="end"/>
      </w:r>
    </w:p>
    <w:p w14:paraId="1DB91D33">
      <w:pPr>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 xml:space="preserve">第二章 </w:t>
      </w:r>
      <w:r>
        <w:rPr>
          <w:rFonts w:hint="eastAsia" w:ascii="仿宋" w:hAnsi="仿宋" w:eastAsia="仿宋"/>
          <w:color w:val="000000"/>
        </w:rPr>
        <w:fldChar w:fldCharType="begin"/>
      </w:r>
      <w:r>
        <w:rPr>
          <w:rFonts w:hint="eastAsia" w:ascii="仿宋" w:hAnsi="仿宋" w:eastAsia="仿宋"/>
          <w:color w:val="000000"/>
        </w:rPr>
        <w:instrText xml:space="preserve"> HYPERLINK \l "_Toc438648486" </w:instrText>
      </w:r>
      <w:r>
        <w:rPr>
          <w:rFonts w:hint="eastAsia" w:ascii="仿宋" w:hAnsi="仿宋" w:eastAsia="仿宋"/>
          <w:color w:val="000000"/>
        </w:rPr>
        <w:fldChar w:fldCharType="separate"/>
      </w:r>
      <w:r>
        <w:rPr>
          <w:rFonts w:hint="eastAsia" w:ascii="仿宋" w:hAnsi="仿宋" w:eastAsia="仿宋"/>
          <w:color w:val="000000"/>
          <w:sz w:val="28"/>
          <w:szCs w:val="28"/>
        </w:rPr>
        <w:t>供应商须知前附表</w:t>
      </w:r>
      <w:r>
        <w:rPr>
          <w:rFonts w:hint="eastAsia" w:ascii="仿宋" w:hAnsi="仿宋" w:eastAsia="仿宋"/>
          <w:b/>
          <w:bCs/>
          <w:color w:val="000000"/>
          <w:sz w:val="28"/>
          <w:szCs w:val="28"/>
        </w:rPr>
        <w:fldChar w:fldCharType="end"/>
      </w:r>
    </w:p>
    <w:p w14:paraId="4BF22E10">
      <w:pPr>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第三章 政府</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\l "_Toc438648496"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采购合同</w:t>
      </w:r>
      <w:r>
        <w:rPr>
          <w:rFonts w:hint="eastAsia" w:ascii="仿宋" w:hAnsi="仿宋" w:eastAsia="仿宋"/>
          <w:color w:val="000000"/>
          <w:sz w:val="28"/>
          <w:szCs w:val="28"/>
        </w:rPr>
        <w:fldChar w:fldCharType="end"/>
      </w:r>
    </w:p>
    <w:p w14:paraId="4140419E">
      <w:pPr>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 xml:space="preserve">第四章 </w:t>
      </w: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\l "_Toc438648496" </w:instrText>
      </w:r>
      <w:r>
        <w:rPr>
          <w:rFonts w:hint="eastAsia" w:ascii="仿宋" w:hAnsi="仿宋" w:eastAsia="仿宋"/>
          <w:color w:val="000000"/>
          <w:sz w:val="28"/>
          <w:szCs w:val="28"/>
        </w:rPr>
        <w:fldChar w:fldCharType="separate"/>
      </w:r>
      <w:r>
        <w:rPr>
          <w:rFonts w:hint="eastAsia" w:ascii="仿宋" w:hAnsi="仿宋" w:eastAsia="仿宋"/>
          <w:color w:val="000000"/>
          <w:sz w:val="28"/>
          <w:szCs w:val="28"/>
        </w:rPr>
        <w:t>采购项目需求</w:t>
      </w:r>
      <w:r>
        <w:rPr>
          <w:rFonts w:hint="eastAsia" w:ascii="仿宋" w:hAnsi="仿宋" w:eastAsia="仿宋"/>
          <w:color w:val="000000"/>
          <w:sz w:val="28"/>
          <w:szCs w:val="28"/>
        </w:rPr>
        <w:fldChar w:fldCharType="end"/>
      </w:r>
      <w:r>
        <w:rPr>
          <w:rFonts w:hint="eastAsia" w:ascii="仿宋" w:hAnsi="仿宋" w:eastAsia="仿宋"/>
          <w:color w:val="000000"/>
          <w:sz w:val="28"/>
          <w:szCs w:val="28"/>
        </w:rPr>
        <w:t>及具体要求</w:t>
      </w:r>
    </w:p>
    <w:p w14:paraId="604FD670">
      <w:pPr>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第五章 评审程序及评定成交的标准</w:t>
      </w:r>
    </w:p>
    <w:p w14:paraId="027E156D">
      <w:pPr>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第六章 竞争性磋商须知</w:t>
      </w:r>
    </w:p>
    <w:p w14:paraId="64E9D207">
      <w:pPr>
        <w:snapToGrid w:val="0"/>
        <w:spacing w:line="360" w:lineRule="auto"/>
        <w:jc w:val="left"/>
        <w:rPr>
          <w:rFonts w:hint="eastAsia" w:ascii="仿宋" w:hAnsi="仿宋" w:eastAsia="仿宋"/>
          <w:color w:val="000000"/>
          <w:sz w:val="28"/>
          <w:szCs w:val="28"/>
        </w:rPr>
      </w:pPr>
      <w:r>
        <w:rPr>
          <w:rFonts w:hint="eastAsia" w:ascii="仿宋" w:hAnsi="仿宋" w:eastAsia="仿宋"/>
          <w:color w:val="000000"/>
          <w:sz w:val="28"/>
          <w:szCs w:val="28"/>
        </w:rPr>
        <w:t>第七章 响应文件格式</w:t>
      </w:r>
    </w:p>
    <w:p w14:paraId="68AD8995">
      <w:pPr>
        <w:pStyle w:val="4"/>
        <w:spacing w:line="500" w:lineRule="exact"/>
        <w:ind w:firstLine="0"/>
        <w:rPr>
          <w:rFonts w:hint="eastAsia" w:ascii="仿宋" w:hAnsi="仿宋" w:eastAsia="仿宋"/>
          <w:color w:val="000000"/>
        </w:rPr>
      </w:pPr>
      <w:bookmarkStart w:id="0" w:name="_Hlk27473954"/>
      <w:bookmarkStart w:id="1" w:name="_Hlk39663443"/>
      <w:bookmarkStart w:id="2" w:name="_Hlk13586256"/>
      <w:bookmarkStart w:id="3" w:name="_Hlk39648029"/>
      <w:r>
        <w:rPr>
          <w:rFonts w:hint="eastAsia" w:ascii="仿宋" w:hAnsi="仿宋" w:eastAsia="仿宋"/>
          <w:color w:val="000000"/>
        </w:rPr>
        <w:br w:type="page"/>
      </w:r>
      <w:r>
        <w:rPr>
          <w:rFonts w:hint="eastAsia" w:ascii="华文中宋" w:hAnsi="华文中宋" w:eastAsia="华文中宋"/>
          <w:color w:val="000000"/>
          <w:sz w:val="44"/>
          <w:szCs w:val="44"/>
          <w:shd w:val="clear" w:color="auto" w:fill="FFFFFF"/>
        </w:rPr>
        <w:t>第一章  竞争性磋商公告</w:t>
      </w:r>
    </w:p>
    <w:p w14:paraId="7D69BC1E">
      <w:pPr>
        <w:pStyle w:val="27"/>
        <w:shd w:val="clear" w:color="auto" w:fill="FFFFFF"/>
        <w:spacing w:line="600" w:lineRule="atLeast"/>
        <w:jc w:val="center"/>
        <w:rPr>
          <w:rFonts w:hint="eastAsia" w:ascii="华文中宋" w:hAnsi="华文中宋" w:eastAsia="华文中宋"/>
          <w:b/>
          <w:bCs/>
          <w:color w:val="000000"/>
          <w:sz w:val="44"/>
          <w:szCs w:val="44"/>
          <w:shd w:val="clear" w:color="auto" w:fill="FFFFFF"/>
          <w:lang w:eastAsia="zh-CN"/>
        </w:rPr>
      </w:pPr>
      <w:r>
        <w:rPr>
          <w:rFonts w:hint="eastAsia" w:ascii="华文中宋" w:hAnsi="华文中宋" w:eastAsia="华文中宋"/>
          <w:b/>
          <w:bCs/>
          <w:color w:val="000000"/>
          <w:sz w:val="44"/>
          <w:szCs w:val="44"/>
          <w:shd w:val="clear" w:color="auto" w:fill="FFFFFF"/>
          <w:lang w:eastAsia="zh-CN"/>
        </w:rPr>
        <w:t>芜湖市总工会庆国庆全市职工文艺汇演演出服务采购</w:t>
      </w:r>
      <w:r>
        <w:rPr>
          <w:rFonts w:hint="eastAsia" w:ascii="华文中宋" w:hAnsi="华文中宋" w:eastAsia="华文中宋"/>
          <w:b/>
          <w:bCs/>
          <w:color w:val="000000"/>
          <w:sz w:val="44"/>
          <w:szCs w:val="44"/>
          <w:shd w:val="clear" w:color="auto" w:fill="FFFFFF"/>
        </w:rPr>
        <w:t>竞争性磋商公告</w:t>
      </w:r>
    </w:p>
    <w:p w14:paraId="3043E764">
      <w:pPr>
        <w:pStyle w:val="27"/>
        <w:shd w:val="clear" w:color="auto" w:fill="FFFFFF"/>
        <w:spacing w:line="460" w:lineRule="atLeast"/>
        <w:jc w:val="both"/>
        <w:rPr>
          <w:rFonts w:hint="eastAsia" w:ascii="黑体" w:hAnsi="黑体" w:eastAsia="黑体"/>
          <w:b/>
          <w:bCs/>
          <w:color w:val="000000"/>
          <w:sz w:val="28"/>
          <w:szCs w:val="28"/>
          <w:shd w:val="clear" w:color="auto" w:fill="FFFFFF"/>
        </w:rPr>
      </w:pPr>
      <w:r>
        <w:rPr>
          <w:rFonts w:hint="eastAsia" w:ascii="黑体" w:hAnsi="黑体" w:eastAsia="黑体"/>
          <w:b/>
          <w:bCs/>
          <w:color w:val="000000"/>
          <w:sz w:val="28"/>
          <w:szCs w:val="28"/>
          <w:shd w:val="clear" w:color="auto" w:fill="FFFFFF"/>
        </w:rPr>
        <w:t>项目概况</w:t>
      </w:r>
    </w:p>
    <w:p w14:paraId="679F91B3">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芜湖市总工会庆国庆全市职工文艺汇演演出服务采购</w:t>
      </w:r>
      <w:r>
        <w:rPr>
          <w:rFonts w:hint="eastAsia" w:ascii="仿宋" w:hAnsi="仿宋" w:eastAsia="仿宋"/>
          <w:color w:val="000000"/>
          <w:sz w:val="28"/>
          <w:szCs w:val="28"/>
          <w:shd w:val="clear" w:color="auto" w:fill="FFFFFF"/>
        </w:rPr>
        <w:t>的潜在供应商应在安徽苏柏亚工程项目管理有限公司芜湖市皖江财富广场A2座10楼1031获取磋商文件，并于2024年</w:t>
      </w:r>
      <w:r>
        <w:rPr>
          <w:rFonts w:hint="eastAsia" w:ascii="仿宋" w:hAnsi="仿宋" w:eastAsia="仿宋"/>
          <w:color w:val="000000"/>
          <w:sz w:val="28"/>
          <w:szCs w:val="28"/>
          <w:shd w:val="clear" w:color="auto" w:fill="FFFFFF"/>
          <w:lang w:val="en-US" w:eastAsia="zh-CN"/>
        </w:rPr>
        <w:t>9</w:t>
      </w:r>
      <w:r>
        <w:rPr>
          <w:rFonts w:hint="eastAsia" w:ascii="仿宋" w:hAnsi="仿宋" w:eastAsia="仿宋"/>
          <w:color w:val="000000"/>
          <w:sz w:val="28"/>
          <w:szCs w:val="28"/>
          <w:shd w:val="clear" w:color="auto" w:fill="FFFFFF"/>
        </w:rPr>
        <w:t>月</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日</w:t>
      </w:r>
      <w:r>
        <w:rPr>
          <w:rFonts w:hint="eastAsia" w:ascii="仿宋" w:hAnsi="仿宋" w:eastAsia="仿宋"/>
          <w:color w:val="000000"/>
          <w:sz w:val="28"/>
          <w:szCs w:val="28"/>
          <w:shd w:val="clear" w:color="auto" w:fill="FFFFFF"/>
          <w:lang w:val="en-US" w:eastAsia="zh-CN"/>
        </w:rPr>
        <w:t>09</w:t>
      </w:r>
      <w:r>
        <w:rPr>
          <w:rFonts w:hint="eastAsia" w:ascii="仿宋" w:hAnsi="仿宋" w:eastAsia="仿宋"/>
          <w:color w:val="000000"/>
          <w:sz w:val="28"/>
          <w:szCs w:val="28"/>
          <w:shd w:val="clear" w:color="auto" w:fill="FFFFFF"/>
        </w:rPr>
        <w:t>点</w:t>
      </w:r>
      <w:r>
        <w:rPr>
          <w:rFonts w:hint="eastAsia" w:ascii="仿宋" w:hAnsi="仿宋" w:eastAsia="仿宋"/>
          <w:color w:val="000000"/>
          <w:sz w:val="28"/>
          <w:szCs w:val="28"/>
          <w:shd w:val="clear" w:color="auto" w:fill="FFFFFF"/>
          <w:lang w:val="en-US" w:eastAsia="zh-CN"/>
        </w:rPr>
        <w:t>30</w:t>
      </w:r>
      <w:r>
        <w:rPr>
          <w:rFonts w:hint="eastAsia" w:ascii="仿宋" w:hAnsi="仿宋" w:eastAsia="仿宋"/>
          <w:color w:val="000000"/>
          <w:sz w:val="28"/>
          <w:szCs w:val="28"/>
          <w:shd w:val="clear" w:color="auto" w:fill="FFFFFF"/>
        </w:rPr>
        <w:t>分（北京时间）前递交响应文件。</w:t>
      </w:r>
    </w:p>
    <w:p w14:paraId="2C8D248C">
      <w:pPr>
        <w:pStyle w:val="27"/>
        <w:shd w:val="clear" w:color="auto" w:fill="FFFFFF"/>
        <w:spacing w:line="460" w:lineRule="atLeast"/>
        <w:jc w:val="both"/>
        <w:rPr>
          <w:rFonts w:hint="eastAsia" w:ascii="黑体" w:hAnsi="黑体" w:eastAsia="黑体"/>
          <w:b/>
          <w:bCs/>
          <w:color w:val="000000"/>
          <w:sz w:val="28"/>
          <w:szCs w:val="28"/>
          <w:shd w:val="clear" w:color="auto" w:fill="FFFFFF"/>
        </w:rPr>
      </w:pPr>
      <w:r>
        <w:rPr>
          <w:rFonts w:hint="eastAsia" w:ascii="黑体" w:hAnsi="黑体" w:eastAsia="黑体"/>
          <w:b/>
          <w:bCs/>
          <w:color w:val="000000"/>
          <w:sz w:val="28"/>
          <w:szCs w:val="28"/>
          <w:shd w:val="clear" w:color="auto" w:fill="FFFFFF"/>
        </w:rPr>
        <w:t>一、项目基本情况</w:t>
      </w:r>
    </w:p>
    <w:p w14:paraId="20DC4C5A">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1、项目编号：</w:t>
      </w:r>
      <w:r>
        <w:rPr>
          <w:rFonts w:hint="eastAsia" w:ascii="仿宋" w:hAnsi="仿宋" w:eastAsia="仿宋"/>
          <w:color w:val="000000"/>
          <w:sz w:val="28"/>
          <w:szCs w:val="28"/>
          <w:shd w:val="clear" w:color="auto" w:fill="FFFFFF"/>
          <w:lang w:eastAsia="zh-CN"/>
        </w:rPr>
        <w:t>ASW135C2024FW0135</w:t>
      </w:r>
    </w:p>
    <w:p w14:paraId="5E984344">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2、项目名称：</w:t>
      </w:r>
      <w:r>
        <w:rPr>
          <w:rFonts w:hint="eastAsia" w:ascii="仿宋" w:hAnsi="仿宋" w:eastAsia="仿宋"/>
          <w:color w:val="000000"/>
          <w:sz w:val="28"/>
          <w:szCs w:val="28"/>
          <w:shd w:val="clear" w:color="auto" w:fill="FFFFFF"/>
          <w:lang w:val="en-US" w:eastAsia="zh-CN"/>
        </w:rPr>
        <w:t>芜湖市总工会庆国庆全市职工文艺汇演演出服务采购</w:t>
      </w:r>
      <w:r>
        <w:rPr>
          <w:rFonts w:hint="eastAsia" w:ascii="仿宋" w:hAnsi="仿宋" w:eastAsia="仿宋"/>
          <w:color w:val="000000"/>
          <w:sz w:val="28"/>
          <w:szCs w:val="28"/>
          <w:shd w:val="clear" w:color="auto" w:fill="FFFFFF"/>
        </w:rPr>
        <w:t>（本项目投标文件须为纸质文件）</w:t>
      </w:r>
    </w:p>
    <w:p w14:paraId="36389ACB">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3、采购方式：竞争性磋商</w:t>
      </w:r>
    </w:p>
    <w:p w14:paraId="170636FE">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4、预算金额：</w:t>
      </w:r>
      <w:r>
        <w:rPr>
          <w:rFonts w:hint="eastAsia" w:ascii="仿宋" w:hAnsi="仿宋" w:eastAsia="仿宋"/>
          <w:color w:val="000000"/>
          <w:sz w:val="28"/>
          <w:szCs w:val="28"/>
          <w:shd w:val="clear" w:color="auto" w:fill="FFFFFF"/>
          <w:lang w:val="en-US" w:eastAsia="zh-CN"/>
        </w:rPr>
        <w:t>20万元</w:t>
      </w:r>
    </w:p>
    <w:p w14:paraId="2F777592">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5、最高限价：</w:t>
      </w:r>
      <w:r>
        <w:rPr>
          <w:rFonts w:hint="eastAsia" w:ascii="仿宋" w:hAnsi="仿宋" w:eastAsia="仿宋"/>
          <w:color w:val="000000"/>
          <w:sz w:val="28"/>
          <w:szCs w:val="28"/>
          <w:shd w:val="clear" w:color="auto" w:fill="FFFFFF"/>
          <w:lang w:val="en-US" w:eastAsia="zh-CN"/>
        </w:rPr>
        <w:t>20万元</w:t>
      </w:r>
    </w:p>
    <w:p w14:paraId="74971FD0">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eastAsia="zh-CN"/>
        </w:rPr>
      </w:pPr>
      <w:r>
        <w:rPr>
          <w:rFonts w:hint="eastAsia" w:ascii="仿宋" w:hAnsi="仿宋" w:eastAsia="仿宋"/>
          <w:color w:val="000000"/>
          <w:sz w:val="28"/>
          <w:szCs w:val="28"/>
          <w:shd w:val="clear" w:color="auto" w:fill="FFFFFF"/>
          <w:lang w:eastAsia="zh-CN"/>
        </w:rPr>
        <w:t>6、采购需求：</w:t>
      </w:r>
      <w:r>
        <w:rPr>
          <w:rFonts w:hint="eastAsia" w:ascii="仿宋" w:hAnsi="仿宋" w:eastAsia="仿宋"/>
          <w:color w:val="000000"/>
          <w:sz w:val="28"/>
          <w:szCs w:val="28"/>
          <w:shd w:val="clear" w:color="auto" w:fill="FFFFFF"/>
          <w:lang w:val="en-US" w:eastAsia="zh-CN"/>
        </w:rPr>
        <w:t>芜湖市总工会庆国庆全市职工文艺汇演演出服务采购，具体详见采购需求</w:t>
      </w:r>
      <w:r>
        <w:rPr>
          <w:rFonts w:hint="eastAsia" w:ascii="仿宋" w:hAnsi="仿宋" w:eastAsia="仿宋"/>
          <w:color w:val="000000"/>
          <w:sz w:val="28"/>
          <w:szCs w:val="28"/>
          <w:shd w:val="clear" w:color="auto" w:fill="FFFFFF"/>
          <w:lang w:eastAsia="zh-CN"/>
        </w:rPr>
        <w:t>。</w:t>
      </w:r>
    </w:p>
    <w:p w14:paraId="02A54544">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en-US" w:eastAsia="zh-CN"/>
        </w:rPr>
      </w:pPr>
      <w:r>
        <w:rPr>
          <w:rFonts w:hint="eastAsia" w:ascii="仿宋" w:hAnsi="仿宋" w:eastAsia="仿宋"/>
          <w:color w:val="000000"/>
          <w:sz w:val="28"/>
          <w:szCs w:val="28"/>
          <w:shd w:val="clear" w:color="auto" w:fill="FFFFFF"/>
          <w:lang w:val="en-US" w:eastAsia="zh-CN"/>
        </w:rPr>
        <w:t>7、合同履行期限：所有节目必须在9月25日前完成所有节目排练任务，经过市总工会节目编排组的审核，9月27日-28日选择时间现场连排不少于一次。</w:t>
      </w:r>
    </w:p>
    <w:p w14:paraId="2784737E">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8、</w:t>
      </w:r>
      <w:r>
        <w:rPr>
          <w:rFonts w:hint="eastAsia" w:ascii="仿宋" w:hAnsi="仿宋" w:eastAsia="仿宋"/>
          <w:color w:val="000000"/>
          <w:sz w:val="28"/>
          <w:szCs w:val="28"/>
        </w:rPr>
        <w:t>本项目</w:t>
      </w:r>
      <w:r>
        <w:rPr>
          <w:rFonts w:hint="eastAsia" w:ascii="仿宋" w:hAnsi="仿宋" w:eastAsia="仿宋"/>
          <w:color w:val="000000"/>
          <w:sz w:val="28"/>
          <w:szCs w:val="28"/>
          <w:shd w:val="clear" w:color="auto" w:fill="FFFFFF"/>
        </w:rPr>
        <w:t>不</w:t>
      </w:r>
      <w:r>
        <w:rPr>
          <w:rFonts w:hint="eastAsia" w:ascii="仿宋" w:hAnsi="仿宋" w:eastAsia="仿宋"/>
          <w:color w:val="000000"/>
          <w:sz w:val="28"/>
          <w:szCs w:val="28"/>
        </w:rPr>
        <w:t>接受联合体投标。</w:t>
      </w:r>
    </w:p>
    <w:p w14:paraId="1E6D16DC">
      <w:pPr>
        <w:pStyle w:val="27"/>
        <w:shd w:val="clear" w:color="auto" w:fill="FFFFFF"/>
        <w:spacing w:line="460" w:lineRule="atLeast"/>
        <w:jc w:val="both"/>
        <w:rPr>
          <w:rFonts w:hint="eastAsia" w:ascii="黑体" w:hAnsi="黑体" w:eastAsia="黑体"/>
          <w:b/>
          <w:bCs/>
          <w:color w:val="000000"/>
          <w:sz w:val="28"/>
          <w:szCs w:val="28"/>
          <w:shd w:val="clear" w:color="auto" w:fill="FFFFFF"/>
        </w:rPr>
      </w:pPr>
      <w:r>
        <w:rPr>
          <w:rFonts w:hint="eastAsia" w:ascii="黑体" w:hAnsi="黑体" w:eastAsia="黑体"/>
          <w:b/>
          <w:bCs/>
          <w:color w:val="000000"/>
          <w:sz w:val="28"/>
          <w:szCs w:val="28"/>
          <w:shd w:val="clear" w:color="auto" w:fill="FFFFFF"/>
        </w:rPr>
        <w:t>二、申请人的资格要求</w:t>
      </w:r>
    </w:p>
    <w:p w14:paraId="2FA16197">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1.满足《中华人民共和国政府采购法》第二十二条规定；</w:t>
      </w:r>
    </w:p>
    <w:p w14:paraId="0A48A683">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2.落实政府采购政策需满足的资格要求：无</w:t>
      </w:r>
    </w:p>
    <w:p w14:paraId="01F0FA5E">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3.1信用要求：截至响应文件提交截止时间，供应商存在下列有效情形之一的，其资格审查不予通过</w:t>
      </w:r>
    </w:p>
    <w:p w14:paraId="3343A56F">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（1）被人民法院列入失信被执行人名单的</w:t>
      </w:r>
    </w:p>
    <w:p w14:paraId="7D82E5D6">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（2）被税务机关列入重大税收违法失信主体的</w:t>
      </w:r>
    </w:p>
    <w:p w14:paraId="69EEF6E0">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（3）被财政部门列入政府采购严重违法失信行为记录名单的</w:t>
      </w:r>
    </w:p>
    <w:p w14:paraId="01075670">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（4）被市场监督管理部门列入严重违法失信名单的</w:t>
      </w:r>
    </w:p>
    <w:p w14:paraId="3AEDCCAF">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注：“有效”是指“情形”规定的程度、起止期间处于有效状态。供应商为联合体的，对供应商的要求视同对联合体成员的要求。</w:t>
      </w:r>
    </w:p>
    <w:p w14:paraId="14A6878E">
      <w:pPr>
        <w:pStyle w:val="27"/>
        <w:shd w:val="clear" w:color="auto" w:fill="FFFFFF"/>
        <w:spacing w:line="360" w:lineRule="auto"/>
        <w:ind w:firstLine="562" w:firstLineChars="200"/>
        <w:jc w:val="both"/>
        <w:rPr>
          <w:rFonts w:hint="eastAsia" w:ascii="黑体" w:hAnsi="黑体" w:eastAsia="黑体"/>
          <w:b/>
          <w:bCs/>
          <w:color w:val="000000"/>
          <w:sz w:val="28"/>
          <w:szCs w:val="28"/>
          <w:shd w:val="clear" w:color="auto" w:fill="FFFFFF"/>
        </w:rPr>
      </w:pPr>
      <w:r>
        <w:rPr>
          <w:rFonts w:hint="eastAsia" w:ascii="黑体" w:hAnsi="黑体" w:eastAsia="黑体"/>
          <w:b/>
          <w:bCs/>
          <w:color w:val="000000"/>
          <w:sz w:val="28"/>
          <w:szCs w:val="28"/>
          <w:shd w:val="clear" w:color="auto" w:fill="FFFFFF"/>
        </w:rPr>
        <w:t>三、获取采购文件</w:t>
      </w:r>
    </w:p>
    <w:p w14:paraId="2DE055A4">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1、招标文件发售时间：202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val="zh-CN"/>
        </w:rPr>
        <w:t>年</w:t>
      </w:r>
      <w:r>
        <w:rPr>
          <w:rFonts w:hint="eastAsia" w:ascii="仿宋" w:hAnsi="仿宋" w:eastAsia="仿宋"/>
          <w:color w:val="000000"/>
          <w:sz w:val="28"/>
          <w:szCs w:val="28"/>
          <w:lang w:val="en-US" w:eastAsia="zh-CN"/>
        </w:rPr>
        <w:t>8</w:t>
      </w:r>
      <w:r>
        <w:rPr>
          <w:rFonts w:hint="eastAsia" w:ascii="仿宋" w:hAnsi="仿宋" w:eastAsia="仿宋"/>
          <w:color w:val="000000"/>
          <w:sz w:val="28"/>
          <w:szCs w:val="28"/>
          <w:lang w:val="zh-CN"/>
        </w:rPr>
        <w:t>月</w:t>
      </w:r>
      <w:r>
        <w:rPr>
          <w:rFonts w:hint="eastAsia" w:ascii="仿宋" w:hAnsi="仿宋" w:eastAsia="仿宋"/>
          <w:color w:val="000000"/>
          <w:sz w:val="28"/>
          <w:szCs w:val="28"/>
          <w:lang w:val="en-US" w:eastAsia="zh-CN"/>
        </w:rPr>
        <w:t>23</w:t>
      </w:r>
      <w:r>
        <w:rPr>
          <w:rFonts w:hint="eastAsia" w:ascii="仿宋" w:hAnsi="仿宋" w:eastAsia="仿宋"/>
          <w:color w:val="000000"/>
          <w:sz w:val="28"/>
          <w:szCs w:val="28"/>
          <w:lang w:val="zh-CN"/>
        </w:rPr>
        <w:t>日09:00时至202</w:t>
      </w:r>
      <w:r>
        <w:rPr>
          <w:rFonts w:hint="eastAsia" w:ascii="仿宋" w:hAnsi="仿宋" w:eastAsia="仿宋"/>
          <w:color w:val="000000"/>
          <w:sz w:val="28"/>
          <w:szCs w:val="28"/>
          <w:lang w:val="en-US" w:eastAsia="zh-CN"/>
        </w:rPr>
        <w:t>4</w:t>
      </w:r>
      <w:r>
        <w:rPr>
          <w:rFonts w:hint="eastAsia" w:ascii="仿宋" w:hAnsi="仿宋" w:eastAsia="仿宋"/>
          <w:color w:val="000000"/>
          <w:sz w:val="28"/>
          <w:szCs w:val="28"/>
          <w:lang w:val="zh-CN"/>
        </w:rPr>
        <w:t>年</w:t>
      </w:r>
      <w:r>
        <w:rPr>
          <w:rFonts w:hint="eastAsia" w:ascii="仿宋" w:hAnsi="仿宋" w:eastAsia="仿宋"/>
          <w:color w:val="000000"/>
          <w:sz w:val="28"/>
          <w:szCs w:val="28"/>
          <w:lang w:val="en-US" w:eastAsia="zh-CN"/>
        </w:rPr>
        <w:t>8</w:t>
      </w:r>
      <w:r>
        <w:rPr>
          <w:rFonts w:hint="eastAsia" w:ascii="仿宋" w:hAnsi="仿宋" w:eastAsia="仿宋"/>
          <w:color w:val="000000"/>
          <w:sz w:val="28"/>
          <w:szCs w:val="28"/>
          <w:lang w:val="zh-CN"/>
        </w:rPr>
        <w:t>月</w:t>
      </w:r>
      <w:r>
        <w:rPr>
          <w:rFonts w:hint="eastAsia" w:ascii="仿宋" w:hAnsi="仿宋" w:eastAsia="仿宋"/>
          <w:color w:val="000000"/>
          <w:sz w:val="28"/>
          <w:szCs w:val="28"/>
          <w:lang w:val="en-US" w:eastAsia="zh-CN"/>
        </w:rPr>
        <w:t>29</w:t>
      </w:r>
      <w:r>
        <w:rPr>
          <w:rFonts w:hint="eastAsia" w:ascii="仿宋" w:hAnsi="仿宋" w:eastAsia="仿宋"/>
          <w:color w:val="000000"/>
          <w:sz w:val="28"/>
          <w:szCs w:val="28"/>
          <w:lang w:val="zh-CN"/>
        </w:rPr>
        <w:t>日</w:t>
      </w:r>
      <w:r>
        <w:rPr>
          <w:rFonts w:hint="eastAsia" w:ascii="仿宋" w:hAnsi="仿宋" w:eastAsia="仿宋"/>
          <w:color w:val="000000"/>
          <w:sz w:val="28"/>
          <w:szCs w:val="28"/>
        </w:rPr>
        <w:t>17：00时（法定公休日、法定节假日除外）（北京时间）</w:t>
      </w:r>
    </w:p>
    <w:p w14:paraId="673D08F5">
      <w:pPr>
        <w:pStyle w:val="27"/>
        <w:shd w:val="clear" w:color="auto" w:fill="FFFFFF"/>
        <w:spacing w:line="460" w:lineRule="atLeast"/>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2、招标文件价格：零元。</w:t>
      </w:r>
    </w:p>
    <w:p w14:paraId="08CF7F80">
      <w:pPr>
        <w:pStyle w:val="27"/>
        <w:shd w:val="clear" w:color="auto" w:fill="FFFFFF"/>
        <w:spacing w:line="460" w:lineRule="atLeast"/>
        <w:ind w:firstLine="560" w:firstLineChars="200"/>
        <w:jc w:val="both"/>
        <w:rPr>
          <w:rFonts w:hint="eastAsia" w:ascii="仿宋" w:hAnsi="仿宋" w:eastAsia="仿宋"/>
          <w:color w:val="000000"/>
          <w:sz w:val="28"/>
          <w:szCs w:val="28"/>
          <w:lang w:val="zh-CN"/>
        </w:rPr>
      </w:pPr>
      <w:r>
        <w:rPr>
          <w:rFonts w:hint="eastAsia" w:ascii="仿宋" w:hAnsi="仿宋" w:eastAsia="仿宋"/>
          <w:color w:val="000000"/>
          <w:sz w:val="28"/>
          <w:szCs w:val="28"/>
          <w:lang w:val="zh-CN"/>
        </w:rPr>
        <w:t>3、方式：</w:t>
      </w:r>
      <w:r>
        <w:rPr>
          <w:rFonts w:hint="eastAsia" w:ascii="仿宋" w:hAnsi="仿宋" w:eastAsia="仿宋"/>
          <w:color w:val="000000"/>
          <w:sz w:val="28"/>
          <w:szCs w:val="28"/>
          <w:lang w:val="en-US" w:eastAsia="zh-CN"/>
        </w:rPr>
        <w:t>凡有意参加投标者，请于</w:t>
      </w:r>
      <w:r>
        <w:rPr>
          <w:rFonts w:hint="eastAsia" w:ascii="仿宋" w:hAnsi="仿宋" w:eastAsia="仿宋"/>
          <w:color w:val="000000"/>
          <w:sz w:val="28"/>
          <w:szCs w:val="28"/>
          <w:u w:val="none"/>
          <w:lang w:val="en-US" w:eastAsia="zh-CN"/>
        </w:rPr>
        <w:t>规定的报名时间内通过邮箱（635599648@qq.com）登记报名，未报名不得参与投标</w:t>
      </w:r>
      <w:r>
        <w:rPr>
          <w:rFonts w:hint="eastAsia" w:ascii="仿宋" w:hAnsi="仿宋" w:eastAsia="仿宋"/>
          <w:color w:val="000000"/>
          <w:sz w:val="28"/>
          <w:szCs w:val="28"/>
          <w:lang w:val="en-US" w:eastAsia="zh-CN"/>
        </w:rPr>
        <w:t>。</w:t>
      </w:r>
    </w:p>
    <w:p w14:paraId="22AD0888">
      <w:pPr>
        <w:pStyle w:val="27"/>
        <w:shd w:val="clear" w:color="auto" w:fill="FFFFFF"/>
        <w:spacing w:line="460" w:lineRule="atLeast"/>
        <w:ind w:firstLine="560" w:firstLineChars="200"/>
        <w:jc w:val="both"/>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4、报名资料：（1）法定代表人资格证明原件（法人代表报名）或法定代表人授权委托书原件（授权委托人报名），被授权人身份证复印件（携带原件）；</w:t>
      </w:r>
      <w:r>
        <w:rPr>
          <w:rFonts w:hint="eastAsia" w:ascii="仿宋" w:hAnsi="仿宋" w:eastAsia="仿宋"/>
          <w:color w:val="000000"/>
          <w:sz w:val="28"/>
          <w:szCs w:val="28"/>
        </w:rPr>
        <w:t>（2）营业执照复印件</w:t>
      </w:r>
      <w:r>
        <w:rPr>
          <w:rFonts w:hint="eastAsia" w:ascii="仿宋" w:hAnsi="仿宋" w:eastAsia="仿宋"/>
          <w:color w:val="000000"/>
          <w:sz w:val="28"/>
          <w:szCs w:val="28"/>
          <w:lang w:val="zh-CN"/>
        </w:rPr>
        <w:t>；</w:t>
      </w:r>
      <w:r>
        <w:rPr>
          <w:rFonts w:hint="eastAsia" w:ascii="仿宋" w:hAnsi="仿宋" w:eastAsia="仿宋"/>
          <w:color w:val="000000"/>
          <w:sz w:val="28"/>
          <w:szCs w:val="28"/>
        </w:rPr>
        <w:t>注：</w:t>
      </w:r>
      <w:r>
        <w:rPr>
          <w:rFonts w:hint="eastAsia" w:ascii="仿宋" w:hAnsi="仿宋" w:eastAsia="仿宋"/>
          <w:color w:val="000000"/>
          <w:sz w:val="28"/>
          <w:szCs w:val="28"/>
          <w:lang w:val="zh-CN"/>
        </w:rPr>
        <w:t>上述材料均需复印件加盖投标单位公章，留存代理公司。否则拒收报名资料。投标人若选择电子邮件报名的方式需提供以上原件扫描件即可。</w:t>
      </w:r>
    </w:p>
    <w:p w14:paraId="712FAA7D">
      <w:pPr>
        <w:pStyle w:val="27"/>
        <w:shd w:val="clear" w:color="auto" w:fill="FFFFFF"/>
        <w:spacing w:line="460" w:lineRule="atLeast"/>
        <w:jc w:val="both"/>
        <w:rPr>
          <w:rFonts w:hint="eastAsia" w:ascii="黑体" w:hAnsi="黑体" w:eastAsia="黑体"/>
          <w:b/>
          <w:bCs/>
          <w:color w:val="000000"/>
          <w:sz w:val="28"/>
          <w:szCs w:val="28"/>
          <w:shd w:val="clear" w:color="auto" w:fill="FFFFFF"/>
        </w:rPr>
      </w:pPr>
      <w:r>
        <w:rPr>
          <w:rFonts w:hint="eastAsia" w:ascii="黑体" w:hAnsi="黑体" w:eastAsia="黑体"/>
          <w:b/>
          <w:bCs/>
          <w:color w:val="000000"/>
          <w:sz w:val="28"/>
          <w:szCs w:val="28"/>
          <w:shd w:val="clear" w:color="auto" w:fill="FFFFFF"/>
        </w:rPr>
        <w:t>四、响应文件提交</w:t>
      </w:r>
    </w:p>
    <w:p w14:paraId="330C0EB6">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投标截止时间：2024年</w:t>
      </w:r>
      <w:r>
        <w:rPr>
          <w:rFonts w:hint="eastAsia" w:ascii="仿宋" w:hAnsi="仿宋" w:eastAsia="仿宋"/>
          <w:color w:val="000000"/>
          <w:sz w:val="28"/>
          <w:szCs w:val="28"/>
          <w:shd w:val="clear" w:color="auto" w:fill="FFFFFF"/>
          <w:lang w:val="en-US" w:eastAsia="zh-CN"/>
        </w:rPr>
        <w:t>9</w:t>
      </w:r>
      <w:r>
        <w:rPr>
          <w:rFonts w:hint="eastAsia" w:ascii="仿宋" w:hAnsi="仿宋" w:eastAsia="仿宋"/>
          <w:color w:val="000000"/>
          <w:sz w:val="28"/>
          <w:szCs w:val="28"/>
          <w:shd w:val="clear" w:color="auto" w:fill="FFFFFF"/>
        </w:rPr>
        <w:t>月</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日</w:t>
      </w:r>
      <w:r>
        <w:rPr>
          <w:rFonts w:hint="eastAsia" w:ascii="仿宋" w:hAnsi="仿宋" w:eastAsia="仿宋"/>
          <w:color w:val="000000"/>
          <w:sz w:val="28"/>
          <w:szCs w:val="28"/>
          <w:shd w:val="clear" w:color="auto" w:fill="FFFFFF"/>
          <w:lang w:val="en-US" w:eastAsia="zh-CN"/>
        </w:rPr>
        <w:t>09</w:t>
      </w:r>
      <w:r>
        <w:rPr>
          <w:rFonts w:hint="eastAsia" w:ascii="仿宋" w:hAnsi="仿宋" w:eastAsia="仿宋"/>
          <w:color w:val="000000"/>
          <w:sz w:val="28"/>
          <w:szCs w:val="28"/>
          <w:shd w:val="clear" w:color="auto" w:fill="FFFFFF"/>
        </w:rPr>
        <w:t>点</w:t>
      </w:r>
      <w:r>
        <w:rPr>
          <w:rFonts w:hint="eastAsia" w:ascii="仿宋" w:hAnsi="仿宋" w:eastAsia="仿宋"/>
          <w:color w:val="000000"/>
          <w:sz w:val="28"/>
          <w:szCs w:val="28"/>
          <w:shd w:val="clear" w:color="auto" w:fill="FFFFFF"/>
          <w:lang w:val="en-US" w:eastAsia="zh-CN"/>
        </w:rPr>
        <w:t>30</w:t>
      </w:r>
      <w:r>
        <w:rPr>
          <w:rFonts w:hint="eastAsia" w:ascii="仿宋" w:hAnsi="仿宋" w:eastAsia="仿宋"/>
          <w:color w:val="000000"/>
          <w:sz w:val="28"/>
          <w:szCs w:val="28"/>
          <w:shd w:val="clear" w:color="auto" w:fill="FFFFFF"/>
        </w:rPr>
        <w:t>分（北京时间）</w:t>
      </w:r>
    </w:p>
    <w:p w14:paraId="06A2EF94">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地点：芜湖市皖江财富广场A2座10楼1031</w:t>
      </w:r>
      <w:r>
        <w:rPr>
          <w:rFonts w:hint="eastAsia" w:ascii="仿宋" w:hAnsi="仿宋" w:eastAsia="仿宋"/>
          <w:color w:val="000000"/>
          <w:sz w:val="28"/>
          <w:szCs w:val="28"/>
          <w:shd w:val="clear" w:color="auto" w:fill="FFFFFF"/>
          <w:lang w:val="en-US" w:eastAsia="zh-CN"/>
        </w:rPr>
        <w:t>安徽苏柏亚开标室</w:t>
      </w:r>
    </w:p>
    <w:p w14:paraId="054A5E1E">
      <w:pPr>
        <w:pStyle w:val="27"/>
        <w:numPr>
          <w:ilvl w:val="0"/>
          <w:numId w:val="1"/>
        </w:numPr>
        <w:shd w:val="clear" w:color="auto" w:fill="FFFFFF"/>
        <w:spacing w:line="460" w:lineRule="atLeast"/>
        <w:jc w:val="both"/>
        <w:rPr>
          <w:rFonts w:hint="eastAsia" w:ascii="黑体" w:hAnsi="黑体" w:eastAsia="黑体"/>
          <w:b/>
          <w:bCs/>
          <w:color w:val="000000"/>
          <w:sz w:val="28"/>
          <w:szCs w:val="28"/>
          <w:shd w:val="clear" w:color="auto" w:fill="FFFFFF"/>
        </w:rPr>
      </w:pPr>
      <w:r>
        <w:rPr>
          <w:rFonts w:hint="eastAsia" w:ascii="黑体" w:hAnsi="黑体" w:eastAsia="黑体"/>
          <w:b/>
          <w:bCs/>
          <w:color w:val="000000"/>
          <w:sz w:val="28"/>
          <w:szCs w:val="28"/>
          <w:shd w:val="clear" w:color="auto" w:fill="FFFFFF"/>
        </w:rPr>
        <w:t>开启</w:t>
      </w:r>
    </w:p>
    <w:p w14:paraId="2A3EA913">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时间：2024年</w:t>
      </w:r>
      <w:r>
        <w:rPr>
          <w:rFonts w:hint="eastAsia" w:ascii="仿宋" w:hAnsi="仿宋" w:eastAsia="仿宋"/>
          <w:color w:val="000000"/>
          <w:sz w:val="28"/>
          <w:szCs w:val="28"/>
          <w:shd w:val="clear" w:color="auto" w:fill="FFFFFF"/>
          <w:lang w:val="en-US" w:eastAsia="zh-CN"/>
        </w:rPr>
        <w:t>9</w:t>
      </w:r>
      <w:r>
        <w:rPr>
          <w:rFonts w:hint="eastAsia" w:ascii="仿宋" w:hAnsi="仿宋" w:eastAsia="仿宋"/>
          <w:color w:val="000000"/>
          <w:sz w:val="28"/>
          <w:szCs w:val="28"/>
          <w:shd w:val="clear" w:color="auto" w:fill="FFFFFF"/>
        </w:rPr>
        <w:t>月</w:t>
      </w:r>
      <w:r>
        <w:rPr>
          <w:rFonts w:hint="eastAsia" w:ascii="仿宋" w:hAnsi="仿宋" w:eastAsia="仿宋"/>
          <w:color w:val="000000"/>
          <w:sz w:val="28"/>
          <w:szCs w:val="28"/>
          <w:shd w:val="clear" w:color="auto" w:fill="FFFFFF"/>
          <w:lang w:val="en-US" w:eastAsia="zh-CN"/>
        </w:rPr>
        <w:t>2</w:t>
      </w:r>
      <w:r>
        <w:rPr>
          <w:rFonts w:hint="eastAsia" w:ascii="仿宋" w:hAnsi="仿宋" w:eastAsia="仿宋"/>
          <w:color w:val="000000"/>
          <w:sz w:val="28"/>
          <w:szCs w:val="28"/>
          <w:shd w:val="clear" w:color="auto" w:fill="FFFFFF"/>
        </w:rPr>
        <w:t>日</w:t>
      </w:r>
      <w:r>
        <w:rPr>
          <w:rFonts w:hint="eastAsia" w:ascii="仿宋" w:hAnsi="仿宋" w:eastAsia="仿宋"/>
          <w:color w:val="000000"/>
          <w:sz w:val="28"/>
          <w:szCs w:val="28"/>
          <w:shd w:val="clear" w:color="auto" w:fill="FFFFFF"/>
          <w:lang w:val="en-US" w:eastAsia="zh-CN"/>
        </w:rPr>
        <w:t>09</w:t>
      </w:r>
      <w:r>
        <w:rPr>
          <w:rFonts w:hint="eastAsia" w:ascii="仿宋" w:hAnsi="仿宋" w:eastAsia="仿宋"/>
          <w:color w:val="000000"/>
          <w:sz w:val="28"/>
          <w:szCs w:val="28"/>
          <w:shd w:val="clear" w:color="auto" w:fill="FFFFFF"/>
        </w:rPr>
        <w:t>点</w:t>
      </w:r>
      <w:r>
        <w:rPr>
          <w:rFonts w:hint="eastAsia" w:ascii="仿宋" w:hAnsi="仿宋" w:eastAsia="仿宋"/>
          <w:color w:val="000000"/>
          <w:sz w:val="28"/>
          <w:szCs w:val="28"/>
          <w:shd w:val="clear" w:color="auto" w:fill="FFFFFF"/>
          <w:lang w:val="en-US" w:eastAsia="zh-CN"/>
        </w:rPr>
        <w:t>30</w:t>
      </w:r>
      <w:r>
        <w:rPr>
          <w:rFonts w:hint="eastAsia" w:ascii="仿宋" w:hAnsi="仿宋" w:eastAsia="仿宋"/>
          <w:color w:val="000000"/>
          <w:sz w:val="28"/>
          <w:szCs w:val="28"/>
          <w:shd w:val="clear" w:color="auto" w:fill="FFFFFF"/>
        </w:rPr>
        <w:t>分（北京时间）</w:t>
      </w:r>
    </w:p>
    <w:p w14:paraId="00AAAFA0">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地点：芜湖市皖江财富广场A2座10楼1031</w:t>
      </w:r>
      <w:r>
        <w:rPr>
          <w:rFonts w:hint="eastAsia" w:ascii="仿宋" w:hAnsi="仿宋" w:eastAsia="仿宋"/>
          <w:color w:val="000000"/>
          <w:sz w:val="28"/>
          <w:szCs w:val="28"/>
          <w:shd w:val="clear" w:color="auto" w:fill="FFFFFF"/>
          <w:lang w:val="en-US" w:eastAsia="zh-CN"/>
        </w:rPr>
        <w:t>安徽苏柏亚开标室</w:t>
      </w:r>
    </w:p>
    <w:p w14:paraId="22EF0D81">
      <w:pPr>
        <w:pStyle w:val="27"/>
        <w:shd w:val="clear" w:color="auto" w:fill="FFFFFF"/>
        <w:spacing w:line="460" w:lineRule="atLeast"/>
        <w:jc w:val="both"/>
        <w:rPr>
          <w:rFonts w:hint="eastAsia" w:ascii="黑体" w:hAnsi="黑体" w:eastAsia="黑体"/>
          <w:b/>
          <w:bCs/>
          <w:color w:val="000000"/>
          <w:sz w:val="28"/>
          <w:szCs w:val="28"/>
          <w:shd w:val="clear" w:color="auto" w:fill="FFFFFF"/>
        </w:rPr>
      </w:pPr>
      <w:r>
        <w:rPr>
          <w:rFonts w:hint="eastAsia" w:ascii="黑体" w:hAnsi="黑体" w:eastAsia="黑体"/>
          <w:b/>
          <w:bCs/>
          <w:color w:val="000000"/>
          <w:sz w:val="28"/>
          <w:szCs w:val="28"/>
          <w:shd w:val="clear" w:color="auto" w:fill="FFFFFF"/>
        </w:rPr>
        <w:t>六、公告期限</w:t>
      </w:r>
    </w:p>
    <w:p w14:paraId="0124D187">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自本公告发布之日起5个工作日</w:t>
      </w:r>
    </w:p>
    <w:p w14:paraId="4A827787">
      <w:pPr>
        <w:pStyle w:val="27"/>
        <w:shd w:val="clear" w:color="auto" w:fill="FFFFFF"/>
        <w:spacing w:line="460" w:lineRule="atLeast"/>
        <w:jc w:val="both"/>
        <w:rPr>
          <w:rFonts w:hint="eastAsia" w:ascii="黑体" w:hAnsi="黑体" w:eastAsia="黑体"/>
          <w:b/>
          <w:bCs/>
          <w:color w:val="000000"/>
          <w:sz w:val="28"/>
          <w:szCs w:val="28"/>
          <w:shd w:val="clear" w:color="auto" w:fill="FFFFFF"/>
        </w:rPr>
      </w:pPr>
      <w:r>
        <w:rPr>
          <w:rFonts w:hint="eastAsia" w:ascii="黑体" w:hAnsi="黑体" w:eastAsia="黑体"/>
          <w:b/>
          <w:bCs/>
          <w:color w:val="000000"/>
          <w:sz w:val="28"/>
          <w:szCs w:val="28"/>
          <w:shd w:val="clear" w:color="auto" w:fill="FFFFFF"/>
        </w:rPr>
        <w:t>七、其他补充事宜</w:t>
      </w:r>
    </w:p>
    <w:p w14:paraId="5B8C8ECD">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1.资金来源：</w:t>
      </w:r>
      <w:r>
        <w:rPr>
          <w:rFonts w:hint="eastAsia" w:ascii="仿宋" w:hAnsi="仿宋" w:eastAsia="仿宋"/>
          <w:color w:val="000000"/>
          <w:kern w:val="0"/>
          <w:sz w:val="28"/>
          <w:szCs w:val="28"/>
          <w:shd w:val="clear" w:color="auto" w:fill="FFFFFF"/>
          <w:lang w:val="en-US" w:eastAsia="zh-CN"/>
        </w:rPr>
        <w:t>自筹</w:t>
      </w:r>
      <w:r>
        <w:rPr>
          <w:rFonts w:ascii="仿宋" w:hAnsi="仿宋" w:eastAsia="仿宋"/>
          <w:color w:val="000000"/>
          <w:kern w:val="0"/>
          <w:sz w:val="28"/>
          <w:szCs w:val="28"/>
          <w:shd w:val="clear" w:color="auto" w:fill="FFFFFF"/>
        </w:rPr>
        <w:t>资金</w:t>
      </w:r>
    </w:p>
    <w:p w14:paraId="13F4DF56">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rPr>
        <w:t>2.</w:t>
      </w:r>
      <w:r>
        <w:rPr>
          <w:rFonts w:hint="eastAsia" w:ascii="仿宋" w:hAnsi="仿宋" w:eastAsia="仿宋"/>
          <w:color w:val="000000"/>
          <w:sz w:val="28"/>
          <w:szCs w:val="28"/>
        </w:rPr>
        <w:t>本项目免收投标保证金。</w:t>
      </w:r>
    </w:p>
    <w:p w14:paraId="5569A4AA">
      <w:pPr>
        <w:pStyle w:val="27"/>
        <w:shd w:val="clear" w:color="auto" w:fill="FFFFFF"/>
        <w:spacing w:line="460" w:lineRule="atLeast"/>
        <w:jc w:val="both"/>
        <w:rPr>
          <w:rFonts w:hint="eastAsia" w:ascii="黑体" w:hAnsi="黑体" w:eastAsia="黑体"/>
          <w:b/>
          <w:bCs/>
          <w:color w:val="000000"/>
          <w:sz w:val="28"/>
          <w:szCs w:val="28"/>
          <w:shd w:val="clear" w:color="auto" w:fill="FFFFFF"/>
        </w:rPr>
      </w:pPr>
      <w:r>
        <w:rPr>
          <w:rFonts w:hint="eastAsia" w:ascii="黑体" w:hAnsi="黑体" w:eastAsia="黑体"/>
          <w:b/>
          <w:bCs/>
          <w:color w:val="000000"/>
          <w:sz w:val="28"/>
          <w:szCs w:val="28"/>
          <w:shd w:val="clear" w:color="auto" w:fill="FFFFFF"/>
        </w:rPr>
        <w:t>八、凡对本次招标提出询问，请按以下方式联系。</w:t>
      </w:r>
    </w:p>
    <w:p w14:paraId="1983BBE3">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1.采购人信息</w:t>
      </w:r>
    </w:p>
    <w:p w14:paraId="36D31033">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名称：</w:t>
      </w:r>
      <w:r>
        <w:rPr>
          <w:rFonts w:hint="eastAsia" w:ascii="仿宋" w:hAnsi="仿宋" w:eastAsia="仿宋"/>
          <w:color w:val="000000"/>
          <w:sz w:val="28"/>
          <w:szCs w:val="28"/>
          <w:shd w:val="clear" w:color="auto" w:fill="FFFFFF"/>
          <w:lang w:val="zh-CN" w:eastAsia="zh-CN"/>
        </w:rPr>
        <w:t>芜湖市总工会</w:t>
      </w:r>
    </w:p>
    <w:p w14:paraId="7A658466">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eastAsia="zh-CN"/>
        </w:rPr>
      </w:pPr>
      <w:r>
        <w:rPr>
          <w:rFonts w:hint="eastAsia" w:ascii="仿宋" w:hAnsi="仿宋" w:eastAsia="仿宋"/>
          <w:color w:val="000000"/>
          <w:sz w:val="28"/>
          <w:szCs w:val="28"/>
          <w:shd w:val="clear" w:color="auto" w:fill="FFFFFF"/>
          <w:lang w:val="zh-CN" w:eastAsia="zh-CN"/>
        </w:rPr>
        <w:t>地址：芜湖市鸠江区政通路66号</w:t>
      </w:r>
    </w:p>
    <w:p w14:paraId="43B4E9C7">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联系</w:t>
      </w:r>
      <w:r>
        <w:rPr>
          <w:rFonts w:hint="eastAsia" w:ascii="仿宋" w:hAnsi="仿宋" w:eastAsia="仿宋"/>
          <w:color w:val="000000"/>
          <w:sz w:val="28"/>
          <w:szCs w:val="28"/>
          <w:shd w:val="clear" w:color="auto" w:fill="FFFFFF"/>
          <w:lang w:val="zh-CN" w:eastAsia="zh-CN"/>
        </w:rPr>
        <w:t>方式：</w:t>
      </w:r>
      <w:r>
        <w:rPr>
          <w:rFonts w:hint="eastAsia" w:ascii="仿宋" w:hAnsi="仿宋" w:eastAsia="仿宋" w:cs="仿宋"/>
          <w:color w:val="000000"/>
          <w:sz w:val="28"/>
          <w:szCs w:val="28"/>
          <w:highlight w:val="none"/>
          <w:shd w:val="clear" w:color="auto" w:fill="FFFFFF"/>
          <w:lang w:val="en-US" w:eastAsia="zh-CN"/>
        </w:rPr>
        <w:t>0553-</w:t>
      </w:r>
      <w:r>
        <w:rPr>
          <w:rFonts w:hint="eastAsia" w:ascii="仿宋" w:hAnsi="仿宋" w:eastAsia="仿宋" w:cs="仿宋"/>
          <w:color w:val="000000"/>
          <w:sz w:val="28"/>
          <w:szCs w:val="28"/>
          <w:highlight w:val="none"/>
          <w:shd w:val="clear" w:color="auto" w:fill="FFFFFF"/>
          <w:lang w:val="zh-CN" w:eastAsia="zh-CN"/>
        </w:rPr>
        <w:t>3853356</w:t>
      </w:r>
      <w:bookmarkStart w:id="18" w:name="_GoBack"/>
      <w:bookmarkEnd w:id="18"/>
    </w:p>
    <w:p w14:paraId="57719057">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2.采购代理机构信息</w:t>
      </w:r>
    </w:p>
    <w:p w14:paraId="3E7BD03D">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名称：安徽苏柏亚工程项目管理有限公司</w:t>
      </w:r>
    </w:p>
    <w:p w14:paraId="4F59A666">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地址：</w:t>
      </w:r>
      <w:r>
        <w:rPr>
          <w:rFonts w:hint="eastAsia" w:ascii="仿宋" w:hAnsi="仿宋" w:eastAsia="仿宋"/>
          <w:color w:val="000000"/>
          <w:sz w:val="28"/>
          <w:szCs w:val="28"/>
          <w:shd w:val="clear" w:color="auto" w:fill="FFFFFF"/>
        </w:rPr>
        <w:t>芜湖市皖江财富广场A2座10楼</w:t>
      </w:r>
      <w:r>
        <w:rPr>
          <w:rFonts w:hint="eastAsia" w:ascii="仿宋" w:hAnsi="仿宋" w:eastAsia="仿宋"/>
          <w:color w:val="000000"/>
          <w:sz w:val="28"/>
          <w:szCs w:val="28"/>
          <w:shd w:val="clear" w:color="auto" w:fill="FFFFFF"/>
          <w:lang w:val="zh-CN"/>
        </w:rPr>
        <w:t xml:space="preserve">  </w:t>
      </w:r>
    </w:p>
    <w:p w14:paraId="1B3C0501">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联系方式：</w:t>
      </w:r>
      <w:r>
        <w:rPr>
          <w:rFonts w:hint="eastAsia" w:ascii="仿宋" w:hAnsi="仿宋" w:eastAsia="仿宋"/>
          <w:color w:val="000000"/>
          <w:sz w:val="28"/>
          <w:szCs w:val="28"/>
          <w:shd w:val="clear" w:color="auto" w:fill="FFFFFF"/>
        </w:rPr>
        <w:t>18655331745</w:t>
      </w:r>
      <w:r>
        <w:rPr>
          <w:rFonts w:hint="eastAsia" w:ascii="仿宋" w:hAnsi="仿宋" w:eastAsia="仿宋"/>
          <w:color w:val="000000"/>
          <w:sz w:val="28"/>
          <w:szCs w:val="28"/>
          <w:shd w:val="clear" w:color="auto" w:fill="FFFFFF"/>
          <w:lang w:val="zh-CN"/>
        </w:rPr>
        <w:t xml:space="preserve"> </w:t>
      </w:r>
    </w:p>
    <w:p w14:paraId="6743AE08">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3.项目联系方式</w:t>
      </w:r>
    </w:p>
    <w:p w14:paraId="0A1EB2D2">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项目联系人：</w:t>
      </w:r>
      <w:r>
        <w:rPr>
          <w:rFonts w:hint="eastAsia" w:ascii="仿宋" w:hAnsi="仿宋" w:eastAsia="仿宋"/>
          <w:color w:val="000000"/>
          <w:sz w:val="28"/>
          <w:szCs w:val="28"/>
          <w:shd w:val="clear" w:color="auto" w:fill="FFFFFF"/>
        </w:rPr>
        <w:t>金融</w:t>
      </w:r>
      <w:r>
        <w:rPr>
          <w:rFonts w:hint="eastAsia" w:ascii="仿宋" w:hAnsi="仿宋" w:eastAsia="仿宋"/>
          <w:color w:val="000000"/>
          <w:sz w:val="28"/>
          <w:szCs w:val="28"/>
          <w:shd w:val="clear" w:color="auto" w:fill="FFFFFF"/>
          <w:lang w:val="zh-CN"/>
        </w:rPr>
        <w:t xml:space="preserve"> 　 </w:t>
      </w:r>
    </w:p>
    <w:bookmarkEnd w:id="0"/>
    <w:bookmarkEnd w:id="1"/>
    <w:bookmarkEnd w:id="2"/>
    <w:bookmarkEnd w:id="3"/>
    <w:p w14:paraId="6C0A29A9">
      <w:pPr>
        <w:pStyle w:val="27"/>
        <w:shd w:val="clear" w:color="auto" w:fill="FFFFFF"/>
        <w:spacing w:line="460" w:lineRule="atLeast"/>
        <w:ind w:firstLine="560" w:firstLineChars="200"/>
        <w:jc w:val="both"/>
        <w:rPr>
          <w:rFonts w:hint="eastAsia" w:ascii="仿宋" w:hAnsi="仿宋" w:eastAsia="仿宋"/>
          <w:color w:val="000000"/>
          <w:sz w:val="28"/>
          <w:szCs w:val="28"/>
          <w:shd w:val="clear" w:color="auto" w:fill="FFFFFF"/>
          <w:lang w:val="zh-CN"/>
        </w:rPr>
      </w:pPr>
      <w:r>
        <w:rPr>
          <w:rFonts w:hint="eastAsia" w:ascii="仿宋" w:hAnsi="仿宋" w:eastAsia="仿宋"/>
          <w:color w:val="000000"/>
          <w:sz w:val="28"/>
          <w:szCs w:val="28"/>
          <w:shd w:val="clear" w:color="auto" w:fill="FFFFFF"/>
          <w:lang w:val="zh-CN"/>
        </w:rPr>
        <w:t>电话：</w:t>
      </w:r>
      <w:r>
        <w:rPr>
          <w:rFonts w:hint="eastAsia" w:ascii="仿宋" w:hAnsi="仿宋" w:eastAsia="仿宋"/>
          <w:color w:val="000000"/>
          <w:sz w:val="28"/>
          <w:szCs w:val="28"/>
          <w:shd w:val="clear" w:color="auto" w:fill="FFFFFF"/>
        </w:rPr>
        <w:t>18655331745</w:t>
      </w:r>
    </w:p>
    <w:p w14:paraId="5D05B301">
      <w:pPr>
        <w:pStyle w:val="4"/>
        <w:spacing w:line="500" w:lineRule="exact"/>
        <w:ind w:firstLine="0"/>
        <w:rPr>
          <w:rFonts w:hint="eastAsia" w:ascii="仿宋" w:hAnsi="仿宋" w:eastAsia="仿宋"/>
          <w:color w:val="000000"/>
          <w:sz w:val="28"/>
        </w:rPr>
      </w:pPr>
      <w:r>
        <w:rPr>
          <w:rFonts w:hint="eastAsia" w:ascii="仿宋" w:hAnsi="仿宋" w:eastAsia="仿宋"/>
          <w:color w:val="000000"/>
          <w:sz w:val="28"/>
        </w:rPr>
        <w:t xml:space="preserve">第二章 </w:t>
      </w:r>
      <w:r>
        <w:rPr>
          <w:rFonts w:hint="eastAsia" w:ascii="仿宋" w:hAnsi="仿宋" w:eastAsia="仿宋"/>
          <w:color w:val="000000"/>
          <w:szCs w:val="21"/>
        </w:rPr>
        <w:t>供应商须知前附表</w:t>
      </w:r>
    </w:p>
    <w:p w14:paraId="468390A8">
      <w:pPr>
        <w:rPr>
          <w:rFonts w:hint="eastAsia"/>
          <w:color w:val="000000"/>
        </w:rPr>
      </w:pPr>
    </w:p>
    <w:tbl>
      <w:tblPr>
        <w:tblStyle w:val="2"/>
        <w:tblW w:w="9667" w:type="dxa"/>
        <w:tblInd w:w="1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247"/>
        <w:gridCol w:w="6711"/>
      </w:tblGrid>
      <w:tr w14:paraId="6E44DA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064EF0F9">
            <w:pPr>
              <w:snapToGrid w:val="0"/>
              <w:jc w:val="center"/>
              <w:rPr>
                <w:rFonts w:hint="eastAsia" w:ascii="仿宋" w:hAnsi="仿宋" w:eastAsia="仿宋"/>
                <w:color w:val="000000"/>
                <w:sz w:val="24"/>
                <w:szCs w:val="24"/>
              </w:rPr>
            </w:pPr>
            <w:bookmarkStart w:id="4" w:name="_Hlk38271456"/>
            <w:r>
              <w:rPr>
                <w:rFonts w:hint="eastAsia" w:ascii="仿宋" w:hAnsi="仿宋" w:eastAsia="仿宋"/>
                <w:color w:val="000000"/>
                <w:sz w:val="24"/>
                <w:szCs w:val="24"/>
              </w:rPr>
              <w:t>序号</w:t>
            </w:r>
          </w:p>
        </w:tc>
        <w:tc>
          <w:tcPr>
            <w:tcW w:w="2247" w:type="dxa"/>
            <w:vAlign w:val="center"/>
          </w:tcPr>
          <w:p w14:paraId="12FAE0E1">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内容</w:t>
            </w:r>
          </w:p>
        </w:tc>
        <w:tc>
          <w:tcPr>
            <w:tcW w:w="6711" w:type="dxa"/>
            <w:vAlign w:val="center"/>
          </w:tcPr>
          <w:p w14:paraId="35D70DB9">
            <w:pPr>
              <w:snapToGrid w:val="0"/>
              <w:rPr>
                <w:rFonts w:hint="eastAsia" w:ascii="仿宋" w:hAnsi="仿宋" w:eastAsia="仿宋"/>
                <w:color w:val="000000"/>
                <w:sz w:val="24"/>
                <w:szCs w:val="24"/>
              </w:rPr>
            </w:pPr>
            <w:r>
              <w:rPr>
                <w:rFonts w:hint="eastAsia" w:ascii="仿宋" w:hAnsi="仿宋" w:eastAsia="仿宋"/>
                <w:color w:val="000000"/>
                <w:sz w:val="24"/>
                <w:szCs w:val="24"/>
              </w:rPr>
              <w:t>说明和要求</w:t>
            </w:r>
          </w:p>
        </w:tc>
      </w:tr>
      <w:tr w14:paraId="65ABBA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3569DCD">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247" w:type="dxa"/>
            <w:vAlign w:val="center"/>
          </w:tcPr>
          <w:p w14:paraId="66047B8F">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采购人</w:t>
            </w:r>
          </w:p>
        </w:tc>
        <w:tc>
          <w:tcPr>
            <w:tcW w:w="6711" w:type="dxa"/>
            <w:vAlign w:val="center"/>
          </w:tcPr>
          <w:p w14:paraId="02A27650">
            <w:pPr>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芜湖市总工会</w:t>
            </w:r>
          </w:p>
        </w:tc>
      </w:tr>
      <w:tr w14:paraId="475A8B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2E8A277">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2247" w:type="dxa"/>
            <w:vAlign w:val="center"/>
          </w:tcPr>
          <w:p w14:paraId="31B8A13A">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项目名称</w:t>
            </w:r>
          </w:p>
        </w:tc>
        <w:tc>
          <w:tcPr>
            <w:tcW w:w="6711" w:type="dxa"/>
            <w:vAlign w:val="center"/>
          </w:tcPr>
          <w:p w14:paraId="1C7601D2">
            <w:pPr>
              <w:snapToGrid w:val="0"/>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芜湖市总工会庆国庆全市职工文艺汇演演出服务采购</w:t>
            </w:r>
          </w:p>
        </w:tc>
      </w:tr>
      <w:tr w14:paraId="0DBA64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55F0BF02">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3</w:t>
            </w:r>
          </w:p>
        </w:tc>
        <w:tc>
          <w:tcPr>
            <w:tcW w:w="2247" w:type="dxa"/>
            <w:vAlign w:val="center"/>
          </w:tcPr>
          <w:p w14:paraId="2DA20FBC">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项目编号</w:t>
            </w:r>
          </w:p>
        </w:tc>
        <w:tc>
          <w:tcPr>
            <w:tcW w:w="6711" w:type="dxa"/>
            <w:vAlign w:val="center"/>
          </w:tcPr>
          <w:p w14:paraId="4C40AED9">
            <w:pPr>
              <w:autoSpaceDE w:val="0"/>
              <w:autoSpaceDN w:val="0"/>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ASW135C2024FW0135</w:t>
            </w:r>
          </w:p>
        </w:tc>
      </w:tr>
      <w:tr w14:paraId="715D36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390B45B6">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4</w:t>
            </w:r>
          </w:p>
        </w:tc>
        <w:tc>
          <w:tcPr>
            <w:tcW w:w="2247" w:type="dxa"/>
            <w:vAlign w:val="center"/>
          </w:tcPr>
          <w:p w14:paraId="241D1424">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项目预算</w:t>
            </w:r>
          </w:p>
        </w:tc>
        <w:tc>
          <w:tcPr>
            <w:tcW w:w="6711" w:type="dxa"/>
            <w:vAlign w:val="center"/>
          </w:tcPr>
          <w:p w14:paraId="2D568558">
            <w:pPr>
              <w:snapToGrid w:val="0"/>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20万元</w:t>
            </w:r>
          </w:p>
        </w:tc>
      </w:tr>
      <w:tr w14:paraId="099BBF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09" w:type="dxa"/>
            <w:vAlign w:val="center"/>
          </w:tcPr>
          <w:p w14:paraId="0FEE4692">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5</w:t>
            </w:r>
          </w:p>
        </w:tc>
        <w:tc>
          <w:tcPr>
            <w:tcW w:w="2247" w:type="dxa"/>
            <w:vAlign w:val="center"/>
          </w:tcPr>
          <w:p w14:paraId="69B37688">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包别划分</w:t>
            </w:r>
          </w:p>
        </w:tc>
        <w:tc>
          <w:tcPr>
            <w:tcW w:w="6711" w:type="dxa"/>
            <w:vAlign w:val="center"/>
          </w:tcPr>
          <w:p w14:paraId="2786C34A">
            <w:pPr>
              <w:snapToGrid w:val="0"/>
              <w:rPr>
                <w:rFonts w:hint="eastAsia" w:ascii="仿宋" w:hAnsi="仿宋" w:eastAsia="仿宋"/>
                <w:color w:val="000000"/>
                <w:sz w:val="24"/>
                <w:szCs w:val="24"/>
              </w:rPr>
            </w:pPr>
            <w:r>
              <w:rPr>
                <w:rFonts w:hint="eastAsia" w:ascii="仿宋" w:hAnsi="仿宋" w:eastAsia="仿宋"/>
                <w:color w:val="000000"/>
                <w:sz w:val="24"/>
                <w:szCs w:val="24"/>
              </w:rPr>
              <w:t>■不分包     □分为</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个包：</w:t>
            </w:r>
            <w:r>
              <w:rPr>
                <w:rFonts w:hint="eastAsia" w:ascii="仿宋" w:hAnsi="仿宋" w:eastAsia="仿宋"/>
                <w:color w:val="000000"/>
                <w:sz w:val="24"/>
                <w:szCs w:val="24"/>
                <w:u w:val="single"/>
              </w:rPr>
              <w:t>（描述分包情况）</w:t>
            </w:r>
          </w:p>
        </w:tc>
      </w:tr>
      <w:tr w14:paraId="5A1C8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1E2637A">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6</w:t>
            </w:r>
          </w:p>
        </w:tc>
        <w:tc>
          <w:tcPr>
            <w:tcW w:w="2247" w:type="dxa"/>
            <w:vAlign w:val="center"/>
          </w:tcPr>
          <w:p w14:paraId="4431D447">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响应文件提交截止时间及地点</w:t>
            </w:r>
          </w:p>
        </w:tc>
        <w:tc>
          <w:tcPr>
            <w:tcW w:w="6711" w:type="dxa"/>
            <w:vAlign w:val="center"/>
          </w:tcPr>
          <w:p w14:paraId="5A0EBF76">
            <w:pPr>
              <w:snapToGrid w:val="0"/>
              <w:rPr>
                <w:rFonts w:hint="eastAsia" w:ascii="仿宋" w:hAnsi="仿宋" w:eastAsia="仿宋"/>
                <w:color w:val="000000"/>
                <w:sz w:val="24"/>
                <w:szCs w:val="24"/>
              </w:rPr>
            </w:pPr>
            <w:r>
              <w:rPr>
                <w:rFonts w:hint="eastAsia" w:ascii="仿宋" w:hAnsi="仿宋" w:eastAsia="仿宋"/>
                <w:color w:val="000000"/>
                <w:sz w:val="24"/>
                <w:szCs w:val="24"/>
              </w:rPr>
              <w:t>详见竞争性磋商公告</w:t>
            </w:r>
          </w:p>
        </w:tc>
      </w:tr>
      <w:tr w14:paraId="484FB7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7E230E55">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7</w:t>
            </w:r>
          </w:p>
        </w:tc>
        <w:tc>
          <w:tcPr>
            <w:tcW w:w="2247" w:type="dxa"/>
            <w:vAlign w:val="center"/>
          </w:tcPr>
          <w:p w14:paraId="3F40A239">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开启时间及地点</w:t>
            </w:r>
          </w:p>
        </w:tc>
        <w:tc>
          <w:tcPr>
            <w:tcW w:w="6711" w:type="dxa"/>
            <w:vAlign w:val="center"/>
          </w:tcPr>
          <w:p w14:paraId="47A94A0F">
            <w:pPr>
              <w:rPr>
                <w:rFonts w:hint="eastAsia" w:ascii="仿宋" w:hAnsi="仿宋" w:eastAsia="仿宋"/>
                <w:color w:val="000000"/>
                <w:sz w:val="24"/>
                <w:szCs w:val="24"/>
              </w:rPr>
            </w:pPr>
            <w:r>
              <w:rPr>
                <w:rFonts w:hint="eastAsia" w:ascii="仿宋" w:hAnsi="仿宋" w:eastAsia="仿宋"/>
                <w:color w:val="000000"/>
                <w:sz w:val="24"/>
                <w:szCs w:val="24"/>
              </w:rPr>
              <w:t>详见竞争性磋商公告</w:t>
            </w:r>
          </w:p>
        </w:tc>
      </w:tr>
      <w:tr w14:paraId="279D8C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348EF6F6">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8</w:t>
            </w:r>
          </w:p>
        </w:tc>
        <w:tc>
          <w:tcPr>
            <w:tcW w:w="2247" w:type="dxa"/>
            <w:vAlign w:val="center"/>
          </w:tcPr>
          <w:p w14:paraId="0CAD20CB">
            <w:pPr>
              <w:rPr>
                <w:rFonts w:hint="eastAsia" w:ascii="仿宋" w:hAnsi="仿宋" w:eastAsia="仿宋"/>
                <w:color w:val="000000"/>
                <w:sz w:val="24"/>
                <w:szCs w:val="24"/>
              </w:rPr>
            </w:pPr>
            <w:r>
              <w:rPr>
                <w:rFonts w:hint="eastAsia" w:ascii="仿宋" w:hAnsi="仿宋" w:eastAsia="仿宋"/>
                <w:color w:val="000000"/>
                <w:sz w:val="24"/>
                <w:szCs w:val="24"/>
              </w:rPr>
              <w:t>响应文件提交</w:t>
            </w:r>
          </w:p>
        </w:tc>
        <w:tc>
          <w:tcPr>
            <w:tcW w:w="6711" w:type="dxa"/>
            <w:vAlign w:val="center"/>
          </w:tcPr>
          <w:p w14:paraId="55C54D85">
            <w:pPr>
              <w:rPr>
                <w:rFonts w:hint="eastAsia" w:ascii="仿宋" w:hAnsi="仿宋" w:eastAsia="仿宋"/>
                <w:color w:val="000000"/>
                <w:sz w:val="24"/>
                <w:szCs w:val="24"/>
              </w:rPr>
            </w:pPr>
            <w:r>
              <w:rPr>
                <w:rFonts w:hint="eastAsia" w:ascii="仿宋" w:hAnsi="仿宋" w:eastAsia="仿宋"/>
                <w:color w:val="000000"/>
                <w:sz w:val="24"/>
                <w:szCs w:val="24"/>
              </w:rPr>
              <w:t>纸质投标文件：正本</w:t>
            </w:r>
            <w:r>
              <w:rPr>
                <w:rFonts w:hint="eastAsia" w:ascii="仿宋" w:hAnsi="仿宋" w:eastAsia="仿宋"/>
                <w:color w:val="000000"/>
                <w:sz w:val="24"/>
                <w:szCs w:val="24"/>
                <w:u w:val="single"/>
              </w:rPr>
              <w:t xml:space="preserve"> 壹 </w:t>
            </w:r>
            <w:r>
              <w:rPr>
                <w:rFonts w:hint="eastAsia" w:ascii="仿宋" w:hAnsi="仿宋" w:eastAsia="仿宋"/>
                <w:color w:val="000000"/>
                <w:sz w:val="24"/>
                <w:szCs w:val="24"/>
              </w:rPr>
              <w:t>份，副本</w:t>
            </w:r>
            <w:r>
              <w:rPr>
                <w:rFonts w:hint="eastAsia" w:ascii="仿宋" w:hAnsi="仿宋" w:eastAsia="仿宋"/>
                <w:color w:val="000000"/>
                <w:sz w:val="24"/>
                <w:szCs w:val="24"/>
                <w:u w:val="single"/>
              </w:rPr>
              <w:t xml:space="preserve"> 贰 </w:t>
            </w:r>
            <w:r>
              <w:rPr>
                <w:rFonts w:hint="eastAsia" w:ascii="仿宋" w:hAnsi="仿宋" w:eastAsia="仿宋"/>
                <w:color w:val="000000"/>
                <w:sz w:val="24"/>
                <w:szCs w:val="24"/>
              </w:rPr>
              <w:t>份。如果“正本”和“副本”不一致时，则以“正本”为准。投标文件均需装袋密封递交，封口需加盖投标人公章（骑缝章），并在封皮上注明“</w:t>
            </w:r>
            <w:r>
              <w:rPr>
                <w:rFonts w:hint="eastAsia" w:ascii="仿宋" w:hAnsi="仿宋" w:eastAsia="仿宋"/>
                <w:color w:val="000000"/>
                <w:sz w:val="24"/>
                <w:szCs w:val="24"/>
                <w:lang w:val="en-US" w:eastAsia="zh-CN"/>
              </w:rPr>
              <w:t>芜湖市总工会庆国庆全市职工文艺汇演演出服务采购</w:t>
            </w:r>
            <w:r>
              <w:rPr>
                <w:rFonts w:hint="eastAsia" w:ascii="仿宋" w:hAnsi="仿宋" w:eastAsia="仿宋"/>
                <w:color w:val="000000"/>
                <w:sz w:val="24"/>
                <w:szCs w:val="24"/>
              </w:rPr>
              <w:t>”未按以上要求提交响应文件导致的不良后果由投标单位自行承担。</w:t>
            </w:r>
          </w:p>
        </w:tc>
      </w:tr>
      <w:tr w14:paraId="477DD4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33F7C143">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9</w:t>
            </w:r>
          </w:p>
        </w:tc>
        <w:tc>
          <w:tcPr>
            <w:tcW w:w="2247" w:type="dxa"/>
            <w:vAlign w:val="center"/>
          </w:tcPr>
          <w:p w14:paraId="4F139859">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磋商供应商资格条件</w:t>
            </w:r>
          </w:p>
        </w:tc>
        <w:tc>
          <w:tcPr>
            <w:tcW w:w="6711" w:type="dxa"/>
            <w:vAlign w:val="center"/>
          </w:tcPr>
          <w:p w14:paraId="34F0126A">
            <w:pPr>
              <w:rPr>
                <w:rFonts w:hint="eastAsia" w:ascii="仿宋" w:hAnsi="仿宋" w:eastAsia="仿宋"/>
                <w:color w:val="000000"/>
                <w:sz w:val="24"/>
                <w:szCs w:val="24"/>
              </w:rPr>
            </w:pPr>
            <w:r>
              <w:rPr>
                <w:rFonts w:hint="eastAsia" w:ascii="仿宋" w:hAnsi="仿宋" w:eastAsia="仿宋"/>
                <w:color w:val="000000"/>
                <w:sz w:val="24"/>
                <w:szCs w:val="24"/>
              </w:rPr>
              <w:t>详见竞争性磋商公告</w:t>
            </w:r>
          </w:p>
        </w:tc>
      </w:tr>
      <w:tr w14:paraId="6095B5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1F5F54B">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10</w:t>
            </w:r>
          </w:p>
        </w:tc>
        <w:tc>
          <w:tcPr>
            <w:tcW w:w="2247" w:type="dxa"/>
            <w:vAlign w:val="center"/>
          </w:tcPr>
          <w:p w14:paraId="559B99CA">
            <w:pPr>
              <w:snapToGrid w:val="0"/>
              <w:jc w:val="center"/>
              <w:rPr>
                <w:rFonts w:hint="eastAsia" w:ascii="仿宋" w:hAnsi="仿宋" w:eastAsia="仿宋"/>
                <w:bCs/>
                <w:color w:val="000000"/>
                <w:sz w:val="24"/>
                <w:szCs w:val="24"/>
              </w:rPr>
            </w:pPr>
            <w:r>
              <w:rPr>
                <w:rFonts w:hint="eastAsia" w:ascii="仿宋" w:hAnsi="仿宋" w:eastAsia="仿宋"/>
                <w:bCs/>
                <w:color w:val="000000"/>
                <w:sz w:val="24"/>
                <w:szCs w:val="24"/>
              </w:rPr>
              <w:t>质疑及答复</w:t>
            </w:r>
          </w:p>
        </w:tc>
        <w:tc>
          <w:tcPr>
            <w:tcW w:w="6711" w:type="dxa"/>
            <w:vAlign w:val="center"/>
          </w:tcPr>
          <w:p w14:paraId="00DDBF9B">
            <w:pPr>
              <w:rPr>
                <w:rFonts w:hint="eastAsia" w:ascii="仿宋" w:hAnsi="仿宋" w:eastAsia="仿宋"/>
                <w:color w:val="000000"/>
                <w:sz w:val="24"/>
                <w:szCs w:val="24"/>
              </w:rPr>
            </w:pPr>
            <w:r>
              <w:rPr>
                <w:rFonts w:hint="eastAsia" w:ascii="仿宋" w:hAnsi="仿宋" w:eastAsia="仿宋"/>
                <w:color w:val="000000"/>
                <w:sz w:val="24"/>
                <w:szCs w:val="24"/>
              </w:rPr>
              <w:t>供应商根据政府采购有关法律法规规定的时间和方式提出疑问，可以递交到代理机构(635599648@qq.com），采购人或代理机构按有关规定给予答复。</w:t>
            </w:r>
          </w:p>
        </w:tc>
      </w:tr>
      <w:tr w14:paraId="1E1595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1F72807A">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11</w:t>
            </w:r>
          </w:p>
        </w:tc>
        <w:tc>
          <w:tcPr>
            <w:tcW w:w="2247" w:type="dxa"/>
            <w:vAlign w:val="center"/>
          </w:tcPr>
          <w:p w14:paraId="70D3AA53">
            <w:pPr>
              <w:snapToGrid w:val="0"/>
              <w:jc w:val="center"/>
              <w:rPr>
                <w:rFonts w:hint="eastAsia" w:ascii="仿宋" w:hAnsi="仿宋" w:eastAsia="仿宋"/>
                <w:bCs/>
                <w:color w:val="000000"/>
                <w:sz w:val="24"/>
                <w:szCs w:val="24"/>
              </w:rPr>
            </w:pPr>
            <w:r>
              <w:rPr>
                <w:rFonts w:hint="eastAsia" w:ascii="仿宋" w:hAnsi="仿宋" w:eastAsia="仿宋"/>
                <w:bCs/>
                <w:color w:val="000000"/>
                <w:sz w:val="24"/>
                <w:szCs w:val="24"/>
              </w:rPr>
              <w:t>响应文件有效期</w:t>
            </w:r>
          </w:p>
        </w:tc>
        <w:tc>
          <w:tcPr>
            <w:tcW w:w="6711" w:type="dxa"/>
            <w:vAlign w:val="center"/>
          </w:tcPr>
          <w:p w14:paraId="76592A3B">
            <w:pPr>
              <w:snapToGrid w:val="0"/>
              <w:rPr>
                <w:rFonts w:hint="eastAsia" w:ascii="仿宋" w:hAnsi="仿宋" w:eastAsia="仿宋"/>
                <w:color w:val="000000"/>
                <w:sz w:val="24"/>
                <w:szCs w:val="24"/>
                <w:u w:val="single"/>
              </w:rPr>
            </w:pPr>
            <w:r>
              <w:rPr>
                <w:rFonts w:hint="eastAsia" w:ascii="仿宋" w:hAnsi="仿宋" w:eastAsia="仿宋"/>
                <w:color w:val="000000"/>
                <w:sz w:val="24"/>
                <w:szCs w:val="24"/>
                <w:u w:val="single"/>
              </w:rPr>
              <w:t>开标后90</w:t>
            </w:r>
            <w:r>
              <w:rPr>
                <w:rFonts w:hint="eastAsia" w:ascii="仿宋" w:hAnsi="仿宋" w:eastAsia="仿宋"/>
                <w:color w:val="000000"/>
                <w:sz w:val="24"/>
                <w:szCs w:val="24"/>
              </w:rPr>
              <w:t>个日历天</w:t>
            </w:r>
          </w:p>
        </w:tc>
      </w:tr>
      <w:tr w14:paraId="2FE2C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11BE300">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12</w:t>
            </w:r>
          </w:p>
        </w:tc>
        <w:tc>
          <w:tcPr>
            <w:tcW w:w="2247" w:type="dxa"/>
            <w:vAlign w:val="center"/>
          </w:tcPr>
          <w:p w14:paraId="09E2F922">
            <w:pPr>
              <w:pStyle w:val="44"/>
              <w:rPr>
                <w:rFonts w:hint="eastAsia" w:ascii="仿宋" w:hAnsi="仿宋" w:eastAsia="仿宋"/>
                <w:color w:val="000000"/>
                <w:kern w:val="0"/>
                <w:sz w:val="24"/>
              </w:rPr>
            </w:pPr>
            <w:r>
              <w:rPr>
                <w:rFonts w:hint="eastAsia" w:ascii="仿宋" w:hAnsi="仿宋" w:eastAsia="仿宋"/>
                <w:color w:val="000000"/>
                <w:kern w:val="0"/>
                <w:sz w:val="24"/>
              </w:rPr>
              <w:t>履约保证金（合同履约担保）</w:t>
            </w:r>
          </w:p>
        </w:tc>
        <w:tc>
          <w:tcPr>
            <w:tcW w:w="6711" w:type="dxa"/>
            <w:vAlign w:val="center"/>
          </w:tcPr>
          <w:p w14:paraId="69E10A0B">
            <w:pPr>
              <w:pStyle w:val="44"/>
              <w:rPr>
                <w:rFonts w:hint="eastAsia" w:ascii="仿宋" w:hAnsi="仿宋" w:eastAsia="仿宋"/>
                <w:color w:val="000000"/>
                <w:sz w:val="24"/>
              </w:rPr>
            </w:pPr>
            <w:r>
              <w:rPr>
                <w:rFonts w:hint="eastAsia" w:ascii="仿宋" w:hAnsi="仿宋" w:eastAsia="仿宋"/>
                <w:color w:val="000000"/>
                <w:sz w:val="24"/>
              </w:rPr>
              <w:t>1、履约保证金的金额：无</w:t>
            </w:r>
          </w:p>
          <w:p w14:paraId="01A610C0">
            <w:pPr>
              <w:pStyle w:val="44"/>
              <w:rPr>
                <w:rFonts w:hint="eastAsia" w:ascii="仿宋" w:hAnsi="仿宋" w:eastAsia="仿宋"/>
                <w:color w:val="000000"/>
                <w:sz w:val="24"/>
              </w:rPr>
            </w:pPr>
            <w:r>
              <w:rPr>
                <w:rFonts w:hint="eastAsia" w:ascii="仿宋" w:hAnsi="仿宋" w:eastAsia="仿宋"/>
                <w:color w:val="000000"/>
                <w:sz w:val="24"/>
              </w:rPr>
              <w:t>2、履约保证金专户信息：</w:t>
            </w:r>
          </w:p>
          <w:p w14:paraId="6F025635">
            <w:pPr>
              <w:pStyle w:val="44"/>
              <w:rPr>
                <w:rFonts w:hint="eastAsia" w:ascii="仿宋" w:hAnsi="仿宋" w:eastAsia="仿宋"/>
                <w:color w:val="000000"/>
                <w:sz w:val="24"/>
              </w:rPr>
            </w:pPr>
            <w:r>
              <w:rPr>
                <w:rFonts w:hint="eastAsia" w:ascii="仿宋" w:hAnsi="仿宋" w:eastAsia="仿宋"/>
                <w:color w:val="000000"/>
                <w:sz w:val="24"/>
              </w:rPr>
              <w:t>开户单位：</w:t>
            </w:r>
          </w:p>
          <w:p w14:paraId="34A1991C">
            <w:pPr>
              <w:pStyle w:val="44"/>
              <w:rPr>
                <w:rFonts w:hint="eastAsia" w:ascii="仿宋" w:hAnsi="仿宋" w:eastAsia="仿宋"/>
                <w:color w:val="000000"/>
                <w:sz w:val="24"/>
              </w:rPr>
            </w:pPr>
            <w:r>
              <w:rPr>
                <w:rFonts w:hint="eastAsia" w:ascii="仿宋" w:hAnsi="仿宋" w:eastAsia="仿宋"/>
                <w:color w:val="000000"/>
                <w:sz w:val="24"/>
              </w:rPr>
              <w:t>开户银行：</w:t>
            </w:r>
          </w:p>
          <w:p w14:paraId="35721BF5">
            <w:pPr>
              <w:pStyle w:val="44"/>
              <w:rPr>
                <w:rFonts w:hint="eastAsia" w:ascii="仿宋" w:hAnsi="仿宋" w:eastAsia="仿宋"/>
                <w:color w:val="000000"/>
                <w:sz w:val="24"/>
              </w:rPr>
            </w:pPr>
            <w:r>
              <w:rPr>
                <w:rFonts w:hint="eastAsia" w:ascii="仿宋" w:hAnsi="仿宋" w:eastAsia="仿宋"/>
                <w:color w:val="000000"/>
                <w:sz w:val="24"/>
              </w:rPr>
              <w:t>账号：</w:t>
            </w:r>
          </w:p>
        </w:tc>
      </w:tr>
      <w:tr w14:paraId="39CBE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85" w:hRule="atLeast"/>
        </w:trPr>
        <w:tc>
          <w:tcPr>
            <w:tcW w:w="709" w:type="dxa"/>
            <w:vAlign w:val="center"/>
          </w:tcPr>
          <w:p w14:paraId="32533D4A">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13</w:t>
            </w:r>
          </w:p>
        </w:tc>
        <w:tc>
          <w:tcPr>
            <w:tcW w:w="2247" w:type="dxa"/>
            <w:vAlign w:val="center"/>
          </w:tcPr>
          <w:p w14:paraId="33282E91">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服务时间、地点、</w:t>
            </w:r>
          </w:p>
        </w:tc>
        <w:tc>
          <w:tcPr>
            <w:tcW w:w="6711" w:type="dxa"/>
            <w:vAlign w:val="center"/>
          </w:tcPr>
          <w:p w14:paraId="717D8450">
            <w:pPr>
              <w:pStyle w:val="27"/>
              <w:shd w:val="clear" w:color="auto" w:fill="FFFFFF"/>
              <w:spacing w:line="460" w:lineRule="atLeast"/>
              <w:jc w:val="both"/>
              <w:rPr>
                <w:rFonts w:hint="eastAsia" w:ascii="仿宋" w:hAnsi="仿宋" w:eastAsia="仿宋"/>
                <w:color w:val="000000"/>
                <w:kern w:val="0"/>
                <w:sz w:val="24"/>
                <w:szCs w:val="24"/>
              </w:rPr>
            </w:pPr>
            <w:r>
              <w:rPr>
                <w:rFonts w:hint="eastAsia" w:ascii="仿宋" w:hAnsi="仿宋" w:eastAsia="仿宋"/>
                <w:color w:val="000000"/>
                <w:kern w:val="0"/>
                <w:sz w:val="24"/>
                <w:szCs w:val="24"/>
              </w:rPr>
              <w:t>服务时间：</w:t>
            </w:r>
            <w:r>
              <w:rPr>
                <w:rFonts w:hint="eastAsia" w:ascii="仿宋" w:hAnsi="仿宋" w:eastAsia="仿宋"/>
                <w:color w:val="000000"/>
                <w:kern w:val="2"/>
                <w:sz w:val="24"/>
                <w:szCs w:val="21"/>
                <w:u w:val="single"/>
                <w:lang w:val="en-US" w:eastAsia="zh-CN" w:bidi="ar-SA"/>
              </w:rPr>
              <w:t>所有节目必须在9月25日前完成所有节目排练任务，经过市总工会节目编排组的审核，9月27日-28日选择时间现场连排不少于一次</w:t>
            </w:r>
          </w:p>
          <w:p w14:paraId="35757C01">
            <w:pPr>
              <w:snapToGrid w:val="0"/>
              <w:rPr>
                <w:rFonts w:hint="eastAsia" w:ascii="仿宋" w:hAnsi="仿宋" w:eastAsia="仿宋"/>
                <w:color w:val="000000"/>
                <w:kern w:val="0"/>
                <w:sz w:val="24"/>
                <w:szCs w:val="24"/>
              </w:rPr>
            </w:pPr>
            <w:r>
              <w:rPr>
                <w:rFonts w:hint="eastAsia" w:ascii="仿宋" w:hAnsi="仿宋" w:eastAsia="仿宋"/>
                <w:color w:val="000000"/>
                <w:kern w:val="0"/>
                <w:sz w:val="24"/>
                <w:szCs w:val="24"/>
              </w:rPr>
              <w:t>服务地点：</w:t>
            </w:r>
            <w:r>
              <w:rPr>
                <w:rFonts w:hint="eastAsia" w:ascii="仿宋" w:hAnsi="仿宋" w:eastAsia="仿宋"/>
                <w:color w:val="000000"/>
                <w:sz w:val="24"/>
                <w:u w:val="single"/>
                <w:lang w:val="en-US" w:eastAsia="zh-CN"/>
              </w:rPr>
              <w:t>采购人指定地点</w:t>
            </w:r>
          </w:p>
        </w:tc>
      </w:tr>
      <w:tr w14:paraId="5FB4A2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2" w:hRule="atLeast"/>
        </w:trPr>
        <w:tc>
          <w:tcPr>
            <w:tcW w:w="709" w:type="dxa"/>
            <w:vAlign w:val="center"/>
          </w:tcPr>
          <w:p w14:paraId="45999BD1">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14</w:t>
            </w:r>
          </w:p>
        </w:tc>
        <w:tc>
          <w:tcPr>
            <w:tcW w:w="2247" w:type="dxa"/>
            <w:vAlign w:val="center"/>
          </w:tcPr>
          <w:p w14:paraId="082C4520">
            <w:pPr>
              <w:jc w:val="center"/>
              <w:rPr>
                <w:rFonts w:hint="eastAsia" w:ascii="仿宋" w:hAnsi="仿宋" w:eastAsia="仿宋"/>
                <w:color w:val="000000"/>
                <w:sz w:val="24"/>
                <w:szCs w:val="24"/>
              </w:rPr>
            </w:pPr>
            <w:r>
              <w:rPr>
                <w:rFonts w:hint="eastAsia" w:ascii="仿宋" w:hAnsi="仿宋" w:eastAsia="仿宋"/>
                <w:color w:val="000000"/>
                <w:sz w:val="24"/>
                <w:szCs w:val="24"/>
              </w:rPr>
              <w:t>信用查询</w:t>
            </w:r>
          </w:p>
        </w:tc>
        <w:tc>
          <w:tcPr>
            <w:tcW w:w="6711" w:type="dxa"/>
            <w:vAlign w:val="center"/>
          </w:tcPr>
          <w:p w14:paraId="13B0970E">
            <w:pPr>
              <w:pStyle w:val="12"/>
              <w:rPr>
                <w:rFonts w:hint="eastAsia" w:ascii="仿宋" w:hAnsi="仿宋" w:eastAsia="仿宋"/>
                <w:color w:val="000000"/>
                <w:sz w:val="24"/>
                <w:szCs w:val="24"/>
              </w:rPr>
            </w:pPr>
            <w:r>
              <w:rPr>
                <w:rFonts w:hint="eastAsia" w:ascii="仿宋" w:hAnsi="仿宋" w:eastAsia="仿宋"/>
                <w:color w:val="000000"/>
                <w:sz w:val="24"/>
                <w:szCs w:val="24"/>
              </w:rPr>
              <w:t>1.参与芜湖市政府采购活动的供应商在评标结束当日被列入以下失信名单的，不得被推荐为政府采购项目中标候选供应商。</w:t>
            </w:r>
          </w:p>
          <w:p w14:paraId="0BA45AE7">
            <w:pPr>
              <w:pStyle w:val="12"/>
              <w:rPr>
                <w:rFonts w:hint="eastAsia" w:ascii="仿宋" w:hAnsi="仿宋" w:eastAsia="仿宋"/>
                <w:color w:val="000000"/>
                <w:sz w:val="24"/>
                <w:szCs w:val="24"/>
              </w:rPr>
            </w:pPr>
            <w:r>
              <w:rPr>
                <w:rFonts w:hint="eastAsia" w:ascii="仿宋" w:hAnsi="仿宋" w:eastAsia="仿宋"/>
                <w:color w:val="000000"/>
                <w:sz w:val="24"/>
                <w:szCs w:val="24"/>
              </w:rPr>
              <w:t>1.1供应商被列入失信被执行人的；</w:t>
            </w:r>
          </w:p>
          <w:p w14:paraId="5B46AE57">
            <w:pPr>
              <w:pStyle w:val="12"/>
              <w:rPr>
                <w:rFonts w:hint="eastAsia" w:ascii="仿宋" w:hAnsi="仿宋" w:eastAsia="仿宋"/>
                <w:color w:val="000000"/>
                <w:sz w:val="24"/>
                <w:szCs w:val="24"/>
              </w:rPr>
            </w:pPr>
            <w:r>
              <w:rPr>
                <w:rFonts w:hint="eastAsia" w:ascii="仿宋" w:hAnsi="仿宋" w:eastAsia="仿宋"/>
                <w:color w:val="000000"/>
                <w:sz w:val="24"/>
                <w:szCs w:val="24"/>
              </w:rPr>
              <w:t>1.2供应商被列入重大税收违法案件当事人名单的；</w:t>
            </w:r>
          </w:p>
          <w:p w14:paraId="5F6B6E7B">
            <w:pPr>
              <w:pStyle w:val="12"/>
              <w:rPr>
                <w:rFonts w:hint="eastAsia" w:ascii="仿宋" w:hAnsi="仿宋" w:eastAsia="仿宋"/>
                <w:color w:val="000000"/>
                <w:sz w:val="24"/>
                <w:szCs w:val="24"/>
              </w:rPr>
            </w:pPr>
            <w:r>
              <w:rPr>
                <w:rFonts w:hint="eastAsia" w:ascii="仿宋" w:hAnsi="仿宋" w:eastAsia="仿宋"/>
                <w:color w:val="000000"/>
                <w:sz w:val="24"/>
                <w:szCs w:val="24"/>
              </w:rPr>
              <w:t>1.3供应商被列入政府采购严重违法失信行为记录名单的；</w:t>
            </w:r>
          </w:p>
          <w:p w14:paraId="329AD944">
            <w:pPr>
              <w:pStyle w:val="12"/>
              <w:rPr>
                <w:rFonts w:hint="eastAsia" w:ascii="仿宋" w:hAnsi="仿宋" w:eastAsia="仿宋"/>
                <w:color w:val="000000"/>
                <w:sz w:val="24"/>
                <w:szCs w:val="24"/>
              </w:rPr>
            </w:pPr>
            <w:r>
              <w:rPr>
                <w:rFonts w:hint="eastAsia" w:ascii="仿宋" w:hAnsi="仿宋" w:eastAsia="仿宋"/>
                <w:color w:val="000000"/>
                <w:sz w:val="24"/>
                <w:szCs w:val="24"/>
              </w:rPr>
              <w:t>2.联合体供应商，联合体任何一方存在上述不良信用记录的，视同联合体存在不良信用记录。</w:t>
            </w:r>
          </w:p>
          <w:p w14:paraId="18D4081D">
            <w:pPr>
              <w:pStyle w:val="12"/>
              <w:rPr>
                <w:rFonts w:hint="eastAsia" w:ascii="仿宋" w:hAnsi="仿宋" w:eastAsia="仿宋"/>
                <w:color w:val="000000"/>
                <w:sz w:val="24"/>
                <w:szCs w:val="24"/>
              </w:rPr>
            </w:pPr>
            <w:r>
              <w:rPr>
                <w:rFonts w:hint="eastAsia" w:ascii="仿宋" w:hAnsi="仿宋" w:eastAsia="仿宋"/>
                <w:color w:val="000000"/>
                <w:sz w:val="24"/>
                <w:szCs w:val="24"/>
              </w:rPr>
              <w:t>3.不良信用记录查询渠道如下：</w:t>
            </w:r>
          </w:p>
          <w:p w14:paraId="148B1DC7">
            <w:pPr>
              <w:pStyle w:val="12"/>
              <w:rPr>
                <w:rFonts w:hint="eastAsia" w:ascii="仿宋" w:hAnsi="仿宋" w:eastAsia="仿宋"/>
                <w:color w:val="000000"/>
                <w:sz w:val="24"/>
                <w:szCs w:val="24"/>
              </w:rPr>
            </w:pPr>
            <w:r>
              <w:rPr>
                <w:rFonts w:hint="eastAsia" w:ascii="仿宋" w:hAnsi="仿宋" w:eastAsia="仿宋"/>
                <w:color w:val="000000"/>
                <w:sz w:val="24"/>
                <w:szCs w:val="24"/>
              </w:rPr>
              <w:t>3.1失信被执行人：信用中国官网（www.creditchina.gov.cn）。</w:t>
            </w:r>
          </w:p>
          <w:p w14:paraId="7464AE09">
            <w:pPr>
              <w:pStyle w:val="12"/>
              <w:rPr>
                <w:rFonts w:hint="eastAsia" w:ascii="仿宋" w:hAnsi="仿宋" w:eastAsia="仿宋"/>
                <w:color w:val="000000"/>
                <w:sz w:val="24"/>
                <w:szCs w:val="24"/>
              </w:rPr>
            </w:pPr>
            <w:r>
              <w:rPr>
                <w:rFonts w:hint="eastAsia" w:ascii="仿宋" w:hAnsi="仿宋" w:eastAsia="仿宋"/>
                <w:color w:val="000000"/>
                <w:sz w:val="24"/>
                <w:szCs w:val="24"/>
              </w:rPr>
              <w:t>3.2重大税收违法案件当事人名单：信用中国官网（www.creditchina.gov.cn）。</w:t>
            </w:r>
          </w:p>
          <w:p w14:paraId="548A5CB5">
            <w:pPr>
              <w:pStyle w:val="12"/>
              <w:rPr>
                <w:rFonts w:hint="eastAsia" w:ascii="仿宋" w:hAnsi="仿宋" w:eastAsia="仿宋"/>
                <w:color w:val="000000"/>
                <w:sz w:val="24"/>
                <w:szCs w:val="24"/>
              </w:rPr>
            </w:pPr>
            <w:r>
              <w:rPr>
                <w:rFonts w:hint="eastAsia" w:ascii="仿宋" w:hAnsi="仿宋" w:eastAsia="仿宋"/>
                <w:color w:val="000000"/>
                <w:sz w:val="24"/>
                <w:szCs w:val="24"/>
              </w:rPr>
              <w:t>3.3政府采购严重违法失信行为记录名单：中国政府采购官网（www.ccgp.gov.cn）</w:t>
            </w:r>
          </w:p>
        </w:tc>
      </w:tr>
      <w:tr w14:paraId="2FAB8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00F37F53">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15</w:t>
            </w:r>
          </w:p>
        </w:tc>
        <w:tc>
          <w:tcPr>
            <w:tcW w:w="2247" w:type="dxa"/>
            <w:vAlign w:val="center"/>
          </w:tcPr>
          <w:p w14:paraId="6CE8FC73">
            <w:pPr>
              <w:snapToGrid w:val="0"/>
              <w:jc w:val="center"/>
              <w:rPr>
                <w:rFonts w:hint="eastAsia" w:ascii="仿宋" w:hAnsi="仿宋" w:eastAsia="仿宋"/>
                <w:color w:val="FF0000"/>
                <w:sz w:val="24"/>
                <w:szCs w:val="24"/>
              </w:rPr>
            </w:pPr>
            <w:r>
              <w:rPr>
                <w:rFonts w:hint="eastAsia" w:ascii="仿宋" w:hAnsi="仿宋" w:eastAsia="仿宋"/>
                <w:color w:val="FF0000"/>
                <w:sz w:val="24"/>
                <w:szCs w:val="24"/>
              </w:rPr>
              <w:t>二次报价</w:t>
            </w:r>
          </w:p>
        </w:tc>
        <w:tc>
          <w:tcPr>
            <w:tcW w:w="6711" w:type="dxa"/>
            <w:vAlign w:val="center"/>
          </w:tcPr>
          <w:p w14:paraId="7F56AA13">
            <w:pPr>
              <w:snapToGrid w:val="0"/>
              <w:rPr>
                <w:rFonts w:hint="eastAsia" w:ascii="仿宋" w:hAnsi="仿宋" w:eastAsia="仿宋"/>
                <w:color w:val="FF0000"/>
                <w:sz w:val="24"/>
                <w:szCs w:val="24"/>
              </w:rPr>
            </w:pPr>
            <w:r>
              <w:rPr>
                <w:rFonts w:hint="eastAsia" w:ascii="仿宋" w:hAnsi="仿宋" w:eastAsia="仿宋"/>
                <w:color w:val="FF0000"/>
                <w:sz w:val="24"/>
                <w:szCs w:val="24"/>
              </w:rPr>
              <w:t>注：须投标供应商到达开标现场，进行现场二次报价。</w:t>
            </w:r>
            <w:r>
              <w:rPr>
                <w:rFonts w:hint="eastAsia" w:ascii="仿宋" w:hAnsi="仿宋" w:eastAsia="仿宋"/>
                <w:color w:val="FF0000"/>
                <w:sz w:val="24"/>
                <w:szCs w:val="24"/>
                <w:lang w:eastAsia="zh-CN"/>
              </w:rPr>
              <w:t>（</w:t>
            </w:r>
            <w:r>
              <w:rPr>
                <w:rFonts w:hint="eastAsia" w:ascii="仿宋" w:hAnsi="仿宋" w:eastAsia="仿宋"/>
                <w:color w:val="FF0000"/>
                <w:sz w:val="24"/>
                <w:szCs w:val="24"/>
              </w:rPr>
              <w:t>若未在规定时间</w:t>
            </w:r>
            <w:r>
              <w:rPr>
                <w:rFonts w:hint="eastAsia" w:ascii="仿宋" w:hAnsi="仿宋" w:eastAsia="仿宋"/>
                <w:color w:val="FF0000"/>
                <w:sz w:val="24"/>
                <w:szCs w:val="24"/>
                <w:lang w:val="en-US" w:eastAsia="zh-CN"/>
              </w:rPr>
              <w:t>15分钟</w:t>
            </w:r>
            <w:r>
              <w:rPr>
                <w:rFonts w:hint="eastAsia" w:ascii="仿宋" w:hAnsi="仿宋" w:eastAsia="仿宋"/>
                <w:color w:val="FF0000"/>
                <w:sz w:val="24"/>
                <w:szCs w:val="24"/>
              </w:rPr>
              <w:t>内完成最后报价视为退出磋商</w:t>
            </w:r>
            <w:r>
              <w:rPr>
                <w:rFonts w:hint="eastAsia" w:ascii="仿宋" w:hAnsi="仿宋" w:eastAsia="仿宋"/>
                <w:color w:val="FF0000"/>
                <w:sz w:val="24"/>
                <w:szCs w:val="24"/>
                <w:lang w:eastAsia="zh-CN"/>
              </w:rPr>
              <w:t>）</w:t>
            </w:r>
            <w:r>
              <w:rPr>
                <w:rFonts w:hint="eastAsia" w:ascii="仿宋" w:hAnsi="仿宋" w:eastAsia="仿宋"/>
                <w:color w:val="FF0000"/>
                <w:sz w:val="24"/>
                <w:szCs w:val="24"/>
              </w:rPr>
              <w:t>。</w:t>
            </w:r>
          </w:p>
        </w:tc>
      </w:tr>
      <w:tr w14:paraId="5AB72B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729FB4B7">
            <w:pPr>
              <w:snapToGrid w:val="0"/>
              <w:jc w:val="center"/>
              <w:rPr>
                <w:rFonts w:hint="eastAsia" w:ascii="仿宋" w:hAnsi="仿宋" w:eastAsia="仿宋"/>
                <w:color w:val="000000"/>
                <w:sz w:val="24"/>
                <w:szCs w:val="24"/>
              </w:rPr>
            </w:pPr>
          </w:p>
        </w:tc>
        <w:tc>
          <w:tcPr>
            <w:tcW w:w="2247" w:type="dxa"/>
            <w:vAlign w:val="center"/>
          </w:tcPr>
          <w:p w14:paraId="500BD7F9">
            <w:pPr>
              <w:snapToGrid w:val="0"/>
              <w:jc w:val="center"/>
              <w:rPr>
                <w:rFonts w:hint="eastAsia" w:ascii="仿宋" w:hAnsi="仿宋" w:eastAsia="仿宋"/>
                <w:color w:val="000000"/>
                <w:sz w:val="24"/>
                <w:szCs w:val="24"/>
              </w:rPr>
            </w:pPr>
            <w:r>
              <w:rPr>
                <w:rFonts w:hint="eastAsia" w:ascii="仿宋" w:hAnsi="仿宋" w:eastAsia="仿宋"/>
                <w:color w:val="000000"/>
                <w:sz w:val="24"/>
                <w:szCs w:val="24"/>
              </w:rPr>
              <w:t>招标代理服务费</w:t>
            </w:r>
          </w:p>
        </w:tc>
        <w:tc>
          <w:tcPr>
            <w:tcW w:w="6711" w:type="dxa"/>
            <w:vAlign w:val="center"/>
          </w:tcPr>
          <w:p w14:paraId="126C859E">
            <w:pPr>
              <w:pStyle w:val="44"/>
              <w:rPr>
                <w:rFonts w:ascii="仿宋" w:hAnsi="仿宋" w:eastAsia="仿宋"/>
                <w:color w:val="000000"/>
                <w:sz w:val="24"/>
              </w:rPr>
            </w:pPr>
            <w:r>
              <w:rPr>
                <w:rFonts w:ascii="仿宋" w:hAnsi="仿宋" w:eastAsia="仿宋"/>
                <w:color w:val="000000"/>
                <w:sz w:val="24"/>
              </w:rPr>
              <w:t>1、代理服务费：</w:t>
            </w:r>
          </w:p>
          <w:p w14:paraId="4B81253B">
            <w:pPr>
              <w:pStyle w:val="44"/>
              <w:rPr>
                <w:rFonts w:ascii="仿宋" w:hAnsi="仿宋" w:eastAsia="仿宋"/>
                <w:color w:val="000000"/>
                <w:sz w:val="24"/>
              </w:rPr>
            </w:pPr>
            <w:r>
              <w:rPr>
                <w:rFonts w:ascii="仿宋" w:hAnsi="仿宋" w:eastAsia="仿宋"/>
                <w:color w:val="000000"/>
                <w:sz w:val="24"/>
              </w:rPr>
              <w:t>（1）支付方：</w:t>
            </w:r>
            <w:r>
              <w:rPr>
                <w:rFonts w:hint="eastAsia" w:ascii="仿宋" w:hAnsi="仿宋" w:eastAsia="仿宋"/>
                <w:color w:val="000000"/>
                <w:sz w:val="24"/>
                <w:lang w:val="en-US" w:eastAsia="zh-CN"/>
              </w:rPr>
              <w:t>成交</w:t>
            </w:r>
            <w:r>
              <w:rPr>
                <w:rFonts w:ascii="仿宋" w:hAnsi="仿宋" w:eastAsia="仿宋"/>
                <w:color w:val="000000"/>
                <w:sz w:val="24"/>
              </w:rPr>
              <w:t>供应商</w:t>
            </w:r>
          </w:p>
          <w:p w14:paraId="41C4536A">
            <w:pPr>
              <w:pStyle w:val="44"/>
              <w:rPr>
                <w:rFonts w:ascii="仿宋" w:hAnsi="仿宋" w:eastAsia="仿宋"/>
                <w:color w:val="000000"/>
                <w:sz w:val="24"/>
              </w:rPr>
            </w:pPr>
            <w:r>
              <w:rPr>
                <w:rFonts w:ascii="仿宋" w:hAnsi="仿宋" w:eastAsia="仿宋"/>
                <w:color w:val="000000"/>
                <w:sz w:val="24"/>
              </w:rPr>
              <w:t>（2）本项目代理服务费金额：</w:t>
            </w:r>
            <w:r>
              <w:rPr>
                <w:rFonts w:hint="eastAsia" w:ascii="仿宋" w:hAnsi="仿宋" w:eastAsia="仿宋"/>
                <w:color w:val="000000"/>
                <w:sz w:val="24"/>
                <w:lang w:val="zh-CN"/>
              </w:rPr>
              <w:t>（</w:t>
            </w:r>
            <w:r>
              <w:rPr>
                <w:rFonts w:hint="eastAsia" w:ascii="仿宋" w:hAnsi="仿宋" w:eastAsia="仿宋"/>
                <w:color w:val="000000"/>
                <w:sz w:val="24"/>
              </w:rPr>
              <w:t>1</w:t>
            </w:r>
            <w:r>
              <w:rPr>
                <w:rFonts w:hint="eastAsia" w:ascii="仿宋" w:hAnsi="仿宋" w:eastAsia="仿宋"/>
                <w:color w:val="000000"/>
                <w:sz w:val="24"/>
                <w:lang w:val="zh-CN"/>
              </w:rPr>
              <w:t>）若</w:t>
            </w:r>
            <w:r>
              <w:rPr>
                <w:rFonts w:hint="eastAsia" w:ascii="仿宋" w:hAnsi="仿宋" w:eastAsia="仿宋"/>
                <w:color w:val="000000"/>
                <w:sz w:val="24"/>
                <w:lang w:val="en-US" w:eastAsia="zh-CN"/>
              </w:rPr>
              <w:t>成交</w:t>
            </w:r>
            <w:r>
              <w:rPr>
                <w:rFonts w:hint="eastAsia" w:ascii="仿宋" w:hAnsi="仿宋" w:eastAsia="仿宋"/>
                <w:color w:val="000000"/>
                <w:sz w:val="24"/>
                <w:lang w:val="zh-CN"/>
              </w:rPr>
              <w:t>价低于 100 万，则代理费=</w:t>
            </w:r>
            <w:r>
              <w:rPr>
                <w:rFonts w:hint="eastAsia" w:ascii="仿宋" w:hAnsi="仿宋" w:eastAsia="仿宋"/>
                <w:color w:val="000000"/>
                <w:sz w:val="24"/>
                <w:lang w:val="en-US" w:eastAsia="zh-CN"/>
              </w:rPr>
              <w:t>成交</w:t>
            </w:r>
            <w:r>
              <w:rPr>
                <w:rFonts w:hint="eastAsia" w:ascii="仿宋" w:hAnsi="仿宋" w:eastAsia="仿宋"/>
                <w:color w:val="000000"/>
                <w:sz w:val="24"/>
                <w:lang w:val="zh-CN"/>
              </w:rPr>
              <w:t>价×1.2%；（</w:t>
            </w:r>
            <w:r>
              <w:rPr>
                <w:rFonts w:hint="eastAsia" w:ascii="仿宋" w:hAnsi="仿宋" w:eastAsia="仿宋"/>
                <w:color w:val="000000"/>
                <w:sz w:val="24"/>
              </w:rPr>
              <w:t>2</w:t>
            </w:r>
            <w:r>
              <w:rPr>
                <w:rFonts w:hint="eastAsia" w:ascii="仿宋" w:hAnsi="仿宋" w:eastAsia="仿宋"/>
                <w:color w:val="000000"/>
                <w:sz w:val="24"/>
                <w:lang w:val="zh-CN"/>
              </w:rPr>
              <w:t>）若代理费按上述计算低于 3000.00 元的，按 3000.00 元支付</w:t>
            </w:r>
            <w:r>
              <w:rPr>
                <w:rFonts w:hint="eastAsia" w:ascii="仿宋" w:hAnsi="仿宋" w:eastAsia="仿宋"/>
                <w:color w:val="000000"/>
                <w:sz w:val="24"/>
              </w:rPr>
              <w:t>。</w:t>
            </w:r>
          </w:p>
          <w:p w14:paraId="05568512">
            <w:pPr>
              <w:pStyle w:val="44"/>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、须在领取中标通知书前一次性付清。</w:t>
            </w:r>
          </w:p>
          <w:p w14:paraId="0BA170FD">
            <w:pPr>
              <w:keepLines/>
              <w:widowControl/>
              <w:wordWrap w:val="0"/>
              <w:topLinePunct/>
              <w:jc w:val="left"/>
              <w:rPr>
                <w:rFonts w:hint="eastAsia" w:ascii="仿宋" w:hAnsi="仿宋" w:eastAsia="仿宋"/>
                <w:color w:val="000000"/>
                <w:kern w:val="0"/>
                <w:sz w:val="24"/>
                <w:szCs w:val="24"/>
                <w:shd w:val="clear" w:color="auto" w:fill="FFFFFF"/>
              </w:rPr>
            </w:pPr>
            <w:r>
              <w:rPr>
                <w:rFonts w:hint="eastAsia" w:ascii="仿宋" w:hAnsi="仿宋" w:eastAsia="仿宋"/>
                <w:color w:val="000000"/>
                <w:kern w:val="0"/>
                <w:sz w:val="24"/>
                <w:szCs w:val="24"/>
                <w:shd w:val="clear" w:color="auto" w:fill="FFFFFF"/>
              </w:rPr>
              <w:t>3.</w:t>
            </w:r>
            <w:r>
              <w:rPr>
                <w:rFonts w:ascii="仿宋" w:hAnsi="仿宋" w:eastAsia="仿宋"/>
                <w:color w:val="000000"/>
                <w:kern w:val="0"/>
                <w:sz w:val="24"/>
                <w:szCs w:val="24"/>
                <w:shd w:val="clear" w:color="auto" w:fill="FFFFFF"/>
              </w:rPr>
              <w:t>本次招标评审费预计</w:t>
            </w:r>
            <w:r>
              <w:rPr>
                <w:rFonts w:hint="eastAsia" w:ascii="仿宋" w:hAnsi="仿宋" w:eastAsia="仿宋"/>
                <w:color w:val="000000"/>
                <w:kern w:val="0"/>
                <w:sz w:val="24"/>
                <w:szCs w:val="24"/>
                <w:shd w:val="clear" w:color="auto" w:fill="FFFFFF"/>
              </w:rPr>
              <w:t>1</w:t>
            </w:r>
            <w:r>
              <w:rPr>
                <w:rFonts w:ascii="仿宋" w:hAnsi="仿宋" w:eastAsia="仿宋"/>
                <w:color w:val="000000"/>
                <w:kern w:val="0"/>
                <w:sz w:val="24"/>
                <w:szCs w:val="24"/>
                <w:shd w:val="clear" w:color="auto" w:fill="FFFFFF"/>
              </w:rPr>
              <w:t>500元，具体数额按实际发生支出为准，不开具发票。</w:t>
            </w:r>
          </w:p>
          <w:p w14:paraId="046BE17F">
            <w:pPr>
              <w:widowControl/>
              <w:shd w:val="clear" w:color="auto" w:fill="FFFFFF"/>
              <w:jc w:val="left"/>
              <w:rPr>
                <w:rFonts w:ascii="仿宋" w:hAnsi="仿宋" w:eastAsia="仿宋"/>
                <w:color w:val="000000"/>
                <w:kern w:val="0"/>
                <w:sz w:val="24"/>
                <w:szCs w:val="24"/>
                <w:shd w:val="clear" w:color="auto" w:fill="FFFFFF"/>
              </w:rPr>
            </w:pPr>
            <w:r>
              <w:rPr>
                <w:rFonts w:ascii="仿宋" w:hAnsi="仿宋" w:eastAsia="仿宋"/>
                <w:color w:val="000000"/>
                <w:kern w:val="0"/>
                <w:sz w:val="24"/>
                <w:szCs w:val="24"/>
                <w:shd w:val="clear" w:color="auto" w:fill="FFFFFF"/>
              </w:rPr>
              <w:t>4、投标人报价中包含代理服务费及专家评审费，不单独报价，请各投标人在编制文件时考虑此项费用。</w:t>
            </w:r>
          </w:p>
        </w:tc>
      </w:tr>
      <w:tr w14:paraId="43D317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248ADB73">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16</w:t>
            </w:r>
          </w:p>
        </w:tc>
        <w:tc>
          <w:tcPr>
            <w:tcW w:w="2247" w:type="dxa"/>
            <w:vAlign w:val="center"/>
          </w:tcPr>
          <w:p w14:paraId="4CF8E603">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主要标的名称、服务范围、服务要求、服务时间、服务标准等</w:t>
            </w:r>
          </w:p>
        </w:tc>
        <w:tc>
          <w:tcPr>
            <w:tcW w:w="6711" w:type="dxa"/>
            <w:vAlign w:val="center"/>
          </w:tcPr>
          <w:p w14:paraId="1360EC60">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依据《中华人民共和国政府采购法实施条例》（国务院令第658号）规定：</w:t>
            </w:r>
          </w:p>
          <w:p w14:paraId="79D8AACD">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本项目将对成交供应商的主要标的名称、服务范围、服务要求、服务时间、服务标准等，经磋商小组评审认可后随评审结果一并公示。</w:t>
            </w:r>
          </w:p>
        </w:tc>
      </w:tr>
      <w:tr w14:paraId="7F8F9F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436C0EA4">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17</w:t>
            </w:r>
          </w:p>
        </w:tc>
        <w:tc>
          <w:tcPr>
            <w:tcW w:w="2247" w:type="dxa"/>
            <w:vAlign w:val="center"/>
          </w:tcPr>
          <w:p w14:paraId="2BD2190E">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是否邀请供应商到现场</w:t>
            </w:r>
          </w:p>
        </w:tc>
        <w:tc>
          <w:tcPr>
            <w:tcW w:w="6711" w:type="dxa"/>
            <w:vAlign w:val="center"/>
          </w:tcPr>
          <w:p w14:paraId="0F0B2606">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□否，本项目不邀请供应商参加开标会，由采购人和代理机构按规定开标。</w:t>
            </w:r>
          </w:p>
          <w:p w14:paraId="6C28A22E">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■是，具体要求：采购人和代理机构在规定的投标截止时间（开标时间）和地点公开开标，邀请所有供应商的法定代表人或其委托代理人参加。</w:t>
            </w:r>
          </w:p>
        </w:tc>
      </w:tr>
      <w:tr w14:paraId="19A99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39D9D325">
            <w:pPr>
              <w:pStyle w:val="44"/>
              <w:rPr>
                <w:rFonts w:hint="eastAsia" w:ascii="仿宋" w:hAnsi="仿宋" w:eastAsia="仿宋"/>
                <w:color w:val="000000"/>
                <w:kern w:val="0"/>
                <w:sz w:val="24"/>
              </w:rPr>
            </w:pPr>
            <w:r>
              <w:rPr>
                <w:rFonts w:hint="eastAsia" w:ascii="仿宋" w:hAnsi="仿宋" w:eastAsia="仿宋"/>
                <w:color w:val="000000"/>
                <w:kern w:val="0"/>
                <w:sz w:val="24"/>
              </w:rPr>
              <w:t>18</w:t>
            </w:r>
          </w:p>
        </w:tc>
        <w:tc>
          <w:tcPr>
            <w:tcW w:w="2247" w:type="dxa"/>
            <w:vAlign w:val="center"/>
          </w:tcPr>
          <w:p w14:paraId="13F1645A">
            <w:pPr>
              <w:jc w:val="center"/>
              <w:rPr>
                <w:rFonts w:hint="eastAsia" w:ascii="仿宋" w:hAnsi="仿宋" w:eastAsia="仿宋"/>
                <w:color w:val="000000"/>
                <w:sz w:val="24"/>
                <w:szCs w:val="20"/>
              </w:rPr>
            </w:pPr>
            <w:r>
              <w:rPr>
                <w:rFonts w:hint="eastAsia" w:ascii="仿宋" w:hAnsi="仿宋" w:eastAsia="仿宋"/>
                <w:color w:val="000000"/>
                <w:sz w:val="24"/>
                <w:szCs w:val="20"/>
              </w:rPr>
              <w:t>合同签订时间</w:t>
            </w:r>
          </w:p>
        </w:tc>
        <w:tc>
          <w:tcPr>
            <w:tcW w:w="6711" w:type="dxa"/>
            <w:vAlign w:val="center"/>
          </w:tcPr>
          <w:p w14:paraId="1EB85015">
            <w:pPr>
              <w:rPr>
                <w:rFonts w:hint="eastAsia" w:ascii="仿宋" w:hAnsi="仿宋" w:eastAsia="仿宋"/>
                <w:color w:val="000000"/>
                <w:sz w:val="24"/>
                <w:szCs w:val="20"/>
              </w:rPr>
            </w:pPr>
            <w:r>
              <w:rPr>
                <w:rFonts w:hint="eastAsia" w:ascii="仿宋" w:hAnsi="仿宋" w:eastAsia="仿宋"/>
                <w:color w:val="000000"/>
                <w:sz w:val="24"/>
                <w:szCs w:val="20"/>
              </w:rPr>
              <w:t>中标供应商应与采购人在中标(成交)通知书发放之日起7个工作日内签订采购合同，无正当理由不得拒绝或者拖延合同签订。</w:t>
            </w:r>
          </w:p>
        </w:tc>
      </w:tr>
      <w:tr w14:paraId="2B5F12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65F744EA">
            <w:pPr>
              <w:rPr>
                <w:rFonts w:hint="eastAsia" w:ascii="仿宋" w:hAnsi="仿宋" w:eastAsia="仿宋"/>
                <w:color w:val="000000"/>
                <w:sz w:val="24"/>
                <w:szCs w:val="20"/>
                <w:lang w:val="en-US" w:eastAsia="zh-CN"/>
              </w:rPr>
            </w:pPr>
            <w:r>
              <w:rPr>
                <w:rFonts w:hint="eastAsia" w:ascii="仿宋" w:hAnsi="仿宋" w:eastAsia="仿宋"/>
                <w:color w:val="000000"/>
                <w:sz w:val="24"/>
                <w:szCs w:val="20"/>
                <w:lang w:val="en-US" w:eastAsia="zh-CN"/>
              </w:rPr>
              <w:t>19</w:t>
            </w:r>
          </w:p>
        </w:tc>
        <w:tc>
          <w:tcPr>
            <w:tcW w:w="2247" w:type="dxa"/>
            <w:vAlign w:val="center"/>
          </w:tcPr>
          <w:p w14:paraId="40B06081">
            <w:pPr>
              <w:rPr>
                <w:rFonts w:hint="eastAsia" w:ascii="仿宋" w:hAnsi="仿宋" w:eastAsia="仿宋"/>
                <w:color w:val="000000"/>
                <w:sz w:val="24"/>
                <w:szCs w:val="20"/>
              </w:rPr>
            </w:pPr>
            <w:r>
              <w:rPr>
                <w:rFonts w:hint="eastAsia" w:ascii="仿宋" w:hAnsi="仿宋" w:eastAsia="仿宋"/>
                <w:color w:val="000000"/>
                <w:sz w:val="24"/>
                <w:szCs w:val="20"/>
              </w:rPr>
              <w:t>付款方式</w:t>
            </w:r>
          </w:p>
        </w:tc>
        <w:tc>
          <w:tcPr>
            <w:tcW w:w="6711" w:type="dxa"/>
            <w:vAlign w:val="center"/>
          </w:tcPr>
          <w:p w14:paraId="557802F2">
            <w:pPr>
              <w:keepNext w:val="0"/>
              <w:keepLines w:val="0"/>
              <w:pageBreakBefore w:val="0"/>
              <w:widowControl w:val="0"/>
              <w:numPr>
                <w:ilvl w:val="0"/>
                <w:numId w:val="0"/>
              </w:numPr>
              <w:kinsoku/>
              <w:wordWrap/>
              <w:overflowPunct/>
              <w:topLinePunct w:val="0"/>
              <w:autoSpaceDE/>
              <w:autoSpaceDN/>
              <w:bidi w:val="0"/>
              <w:snapToGrid/>
              <w:spacing w:line="560" w:lineRule="exact"/>
              <w:rPr>
                <w:rFonts w:hint="eastAsia" w:ascii="仿宋" w:hAnsi="仿宋" w:eastAsia="仿宋"/>
                <w:color w:val="000000"/>
                <w:sz w:val="24"/>
                <w:szCs w:val="20"/>
              </w:rPr>
            </w:pPr>
            <w:r>
              <w:rPr>
                <w:rFonts w:hint="eastAsia" w:ascii="仿宋" w:hAnsi="仿宋" w:eastAsia="仿宋"/>
                <w:color w:val="000000"/>
                <w:sz w:val="24"/>
                <w:szCs w:val="20"/>
              </w:rPr>
              <w:t>付款应按下列条件进行：</w:t>
            </w:r>
            <w:r>
              <w:rPr>
                <w:rFonts w:hint="eastAsia" w:ascii="仿宋" w:hAnsi="仿宋" w:eastAsia="仿宋"/>
                <w:color w:val="000000"/>
                <w:sz w:val="24"/>
                <w:szCs w:val="20"/>
                <w:lang w:val="en-US" w:eastAsia="zh-CN"/>
              </w:rPr>
              <w:t>按照演出实际发生进行结算，且支付价不超过合同价，若遇临时事件或不可抗力等因素，支付部分已发生的费用</w:t>
            </w:r>
          </w:p>
        </w:tc>
      </w:tr>
      <w:tr w14:paraId="043F30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09" w:type="dxa"/>
            <w:vAlign w:val="center"/>
          </w:tcPr>
          <w:p w14:paraId="335EF807">
            <w:pPr>
              <w:pStyle w:val="44"/>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20</w:t>
            </w:r>
          </w:p>
        </w:tc>
        <w:tc>
          <w:tcPr>
            <w:tcW w:w="2247" w:type="dxa"/>
            <w:vAlign w:val="center"/>
          </w:tcPr>
          <w:p w14:paraId="22A20C3D">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备注</w:t>
            </w:r>
          </w:p>
        </w:tc>
        <w:tc>
          <w:tcPr>
            <w:tcW w:w="6711" w:type="dxa"/>
            <w:vAlign w:val="center"/>
          </w:tcPr>
          <w:p w14:paraId="12745899">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1.说明：■表示采用条款，</w:t>
            </w:r>
            <w:r>
              <w:rPr>
                <w:rFonts w:hint="eastAsia" w:ascii="仿宋" w:hAnsi="仿宋" w:eastAsia="仿宋"/>
                <w:color w:val="000000"/>
                <w:kern w:val="0"/>
                <w:sz w:val="24"/>
                <w:szCs w:val="24"/>
              </w:rPr>
              <w:sym w:font="Wingdings" w:char="F0A8"/>
            </w:r>
            <w:r>
              <w:rPr>
                <w:rFonts w:hint="eastAsia" w:ascii="仿宋" w:hAnsi="仿宋" w:eastAsia="仿宋"/>
                <w:color w:val="000000"/>
                <w:kern w:val="0"/>
                <w:sz w:val="24"/>
                <w:szCs w:val="24"/>
              </w:rPr>
              <w:t>表示不采用条款。</w:t>
            </w:r>
          </w:p>
          <w:p w14:paraId="3D8A1EF5">
            <w:pPr>
              <w:widowControl/>
              <w:shd w:val="clear" w:color="auto" w:fill="FFFFFF"/>
              <w:jc w:val="left"/>
              <w:rPr>
                <w:rFonts w:hint="eastAsia" w:ascii="仿宋" w:hAnsi="仿宋" w:eastAsia="仿宋"/>
                <w:color w:val="000000"/>
                <w:kern w:val="0"/>
                <w:sz w:val="24"/>
                <w:szCs w:val="24"/>
              </w:rPr>
            </w:pPr>
            <w:r>
              <w:rPr>
                <w:rFonts w:hint="eastAsia" w:ascii="仿宋" w:hAnsi="仿宋" w:eastAsia="仿宋"/>
                <w:color w:val="000000"/>
                <w:kern w:val="0"/>
                <w:sz w:val="24"/>
                <w:szCs w:val="24"/>
              </w:rPr>
              <w:t>2.诚信投标温馨提示：参加本次采购活动的供应商在投标文件中提供的所有资料均应真实，如有虚假，将被取消中标资格并承担不利法律后果。</w:t>
            </w:r>
          </w:p>
        </w:tc>
      </w:tr>
      <w:bookmarkEnd w:id="4"/>
    </w:tbl>
    <w:p w14:paraId="33F593B0">
      <w:pPr>
        <w:pStyle w:val="4"/>
        <w:spacing w:line="500" w:lineRule="exact"/>
        <w:ind w:firstLine="0"/>
        <w:jc w:val="center"/>
        <w:rPr>
          <w:rFonts w:hint="eastAsia" w:ascii="仿宋" w:hAnsi="仿宋" w:eastAsia="仿宋"/>
          <w:color w:val="000000"/>
          <w:sz w:val="28"/>
        </w:rPr>
      </w:pPr>
      <w:r>
        <w:rPr>
          <w:rFonts w:hint="eastAsia" w:ascii="仿宋" w:hAnsi="仿宋" w:eastAsia="仿宋"/>
          <w:color w:val="000000"/>
          <w:sz w:val="28"/>
        </w:rPr>
        <w:br w:type="page"/>
      </w:r>
      <w:r>
        <w:rPr>
          <w:rFonts w:hint="eastAsia" w:ascii="仿宋" w:hAnsi="仿宋" w:eastAsia="仿宋"/>
          <w:color w:val="000000"/>
          <w:sz w:val="28"/>
        </w:rPr>
        <w:t>第三章  采购合同（格式）</w:t>
      </w:r>
    </w:p>
    <w:p w14:paraId="3E960D60">
      <w:pPr>
        <w:pStyle w:val="44"/>
        <w:spacing w:line="360" w:lineRule="auto"/>
        <w:rPr>
          <w:rFonts w:hint="eastAsia" w:ascii="仿宋" w:hAnsi="仿宋" w:eastAsia="仿宋"/>
          <w:color w:val="000000"/>
          <w:sz w:val="24"/>
        </w:rPr>
      </w:pPr>
    </w:p>
    <w:p w14:paraId="1FC64176">
      <w:pPr>
        <w:pStyle w:val="4"/>
        <w:spacing w:line="500" w:lineRule="exact"/>
        <w:ind w:firstLine="0"/>
        <w:rPr>
          <w:rFonts w:hint="eastAsia" w:ascii="仿宋" w:hAnsi="仿宋" w:eastAsia="仿宋"/>
          <w:color w:val="000000"/>
          <w:sz w:val="24"/>
        </w:rPr>
      </w:pPr>
      <w:r>
        <w:rPr>
          <w:rFonts w:hint="eastAsia" w:ascii="仿宋" w:hAnsi="仿宋" w:eastAsia="仿宋"/>
          <w:color w:val="000000"/>
          <w:sz w:val="24"/>
        </w:rPr>
        <w:t>由</w:t>
      </w:r>
      <w:r>
        <w:rPr>
          <w:rFonts w:hint="eastAsia" w:ascii="仿宋" w:hAnsi="仿宋" w:eastAsia="仿宋"/>
          <w:color w:val="000000"/>
          <w:sz w:val="24"/>
          <w:lang w:eastAsia="zh-CN"/>
        </w:rPr>
        <w:t>双方协商确定</w:t>
      </w:r>
      <w:r>
        <w:rPr>
          <w:rFonts w:hint="eastAsia" w:ascii="仿宋" w:hAnsi="仿宋" w:eastAsia="仿宋"/>
          <w:color w:val="000000"/>
        </w:rPr>
        <w:br w:type="page"/>
      </w:r>
      <w:r>
        <w:rPr>
          <w:rFonts w:hint="eastAsia" w:ascii="仿宋" w:hAnsi="仿宋" w:eastAsia="仿宋"/>
          <w:color w:val="000000"/>
          <w:sz w:val="28"/>
        </w:rPr>
        <w:t>第四章  采购项目需求及具体要求</w:t>
      </w:r>
    </w:p>
    <w:p w14:paraId="6F918B89">
      <w:pPr>
        <w:pStyle w:val="45"/>
        <w:ind w:firstLine="470" w:firstLineChars="196"/>
        <w:rPr>
          <w:rFonts w:hint="eastAsia" w:ascii="仿宋" w:hAnsi="仿宋" w:eastAsia="仿宋"/>
          <w:color w:val="000000"/>
          <w:sz w:val="24"/>
          <w:szCs w:val="24"/>
        </w:rPr>
      </w:pPr>
      <w:r>
        <w:rPr>
          <w:rFonts w:hint="eastAsia" w:ascii="仿宋" w:hAnsi="仿宋" w:eastAsia="仿宋"/>
          <w:color w:val="000000"/>
          <w:sz w:val="24"/>
          <w:szCs w:val="24"/>
        </w:rPr>
        <w:t>注：1. 以下《采购需求说明》及《采购需求一览表》所列内容为采购人所提采购需求，供应商应认真仔细研究，投标时应响应服务要求、服务质量等进行投标。</w:t>
      </w:r>
    </w:p>
    <w:p w14:paraId="7927D485">
      <w:pPr>
        <w:pStyle w:val="45"/>
        <w:ind w:firstLine="470" w:firstLineChars="196"/>
        <w:rPr>
          <w:rFonts w:hint="eastAsia" w:ascii="仿宋" w:hAnsi="仿宋" w:eastAsia="仿宋"/>
          <w:color w:val="000000"/>
          <w:sz w:val="24"/>
          <w:szCs w:val="24"/>
        </w:rPr>
      </w:pPr>
      <w:r>
        <w:rPr>
          <w:rFonts w:hint="eastAsia" w:ascii="仿宋" w:hAnsi="仿宋" w:eastAsia="仿宋"/>
          <w:color w:val="000000"/>
          <w:sz w:val="24"/>
          <w:szCs w:val="24"/>
        </w:rPr>
        <w:t>2.标有“*”的参数为实质性参数，必须满足，否则其投标无效。</w:t>
      </w:r>
    </w:p>
    <w:p w14:paraId="6A03EA04">
      <w:pPr>
        <w:pStyle w:val="45"/>
        <w:ind w:firstLine="470" w:firstLineChars="196"/>
        <w:rPr>
          <w:rFonts w:hint="eastAsia" w:ascii="仿宋" w:hAnsi="仿宋" w:eastAsia="仿宋"/>
          <w:color w:val="000000"/>
          <w:sz w:val="24"/>
          <w:szCs w:val="24"/>
        </w:rPr>
      </w:pPr>
      <w:r>
        <w:rPr>
          <w:rFonts w:hint="eastAsia" w:ascii="仿宋" w:hAnsi="仿宋" w:eastAsia="仿宋"/>
          <w:color w:val="000000"/>
          <w:sz w:val="24"/>
          <w:szCs w:val="24"/>
        </w:rPr>
        <w:t>3.本项目招标文件第七章 “投标文件格式”中内容应根据项目需要和评标办法规定填写；如不需要，则填写无。</w:t>
      </w:r>
    </w:p>
    <w:p w14:paraId="390BC419">
      <w:pPr>
        <w:pStyle w:val="45"/>
        <w:ind w:firstLine="470" w:firstLineChars="196"/>
        <w:rPr>
          <w:rFonts w:hint="eastAsia" w:ascii="仿宋" w:hAnsi="仿宋" w:eastAsia="仿宋"/>
          <w:color w:val="000000"/>
          <w:sz w:val="24"/>
          <w:szCs w:val="24"/>
        </w:rPr>
      </w:pPr>
      <w:r>
        <w:rPr>
          <w:rFonts w:hint="eastAsia" w:ascii="仿宋" w:hAnsi="仿宋" w:eastAsia="仿宋"/>
          <w:color w:val="000000"/>
          <w:sz w:val="24"/>
          <w:szCs w:val="24"/>
        </w:rPr>
        <w:t>4.中标供应商和采购人签订的合同应与招标文件中的采购合同一致，不得另行签订与采购合同相背离的其他合同。</w:t>
      </w:r>
    </w:p>
    <w:p w14:paraId="7E3A1837">
      <w:pPr>
        <w:pStyle w:val="45"/>
        <w:ind w:firstLine="240" w:firstLineChars="100"/>
        <w:rPr>
          <w:rFonts w:hint="eastAsia" w:ascii="仿宋" w:hAnsi="仿宋" w:eastAsia="仿宋"/>
          <w:color w:val="000000"/>
          <w:sz w:val="24"/>
          <w:szCs w:val="24"/>
        </w:rPr>
      </w:pPr>
      <w:r>
        <w:rPr>
          <w:rFonts w:hint="eastAsia" w:ascii="仿宋" w:hAnsi="仿宋" w:eastAsia="仿宋"/>
          <w:color w:val="000000"/>
          <w:sz w:val="24"/>
          <w:szCs w:val="24"/>
        </w:rPr>
        <w:t>注：须投标供应商到达开标现场，进行现场二次报价。</w:t>
      </w:r>
    </w:p>
    <w:p w14:paraId="20F9CC0B">
      <w:pPr>
        <w:spacing w:line="360" w:lineRule="auto"/>
        <w:rPr>
          <w:rFonts w:hint="eastAsia" w:ascii="仿宋" w:hAnsi="仿宋" w:eastAsia="仿宋"/>
          <w:b/>
          <w:color w:val="000000"/>
          <w:sz w:val="28"/>
          <w:szCs w:val="28"/>
        </w:rPr>
      </w:pPr>
    </w:p>
    <w:p w14:paraId="7CAB376C">
      <w:pPr>
        <w:pStyle w:val="45"/>
        <w:ind w:firstLine="472" w:firstLineChars="196"/>
        <w:rPr>
          <w:rFonts w:hint="eastAsia" w:ascii="仿宋" w:hAnsi="仿宋" w:eastAsia="仿宋"/>
          <w:b/>
          <w:bCs/>
          <w:color w:val="000000"/>
          <w:sz w:val="24"/>
        </w:rPr>
      </w:pPr>
    </w:p>
    <w:p w14:paraId="714F5B4C">
      <w:pPr>
        <w:spacing w:line="360" w:lineRule="auto"/>
        <w:ind w:firstLine="472" w:firstLineChars="196"/>
        <w:jc w:val="center"/>
        <w:rPr>
          <w:rFonts w:hint="eastAsia" w:ascii="仿宋" w:hAnsi="仿宋" w:eastAsia="仿宋"/>
          <w:b/>
          <w:bCs/>
          <w:color w:val="000000"/>
          <w:sz w:val="24"/>
        </w:rPr>
      </w:pPr>
      <w:r>
        <w:rPr>
          <w:rFonts w:hint="eastAsia" w:ascii="仿宋" w:hAnsi="仿宋" w:eastAsia="仿宋"/>
          <w:b/>
          <w:bCs/>
          <w:color w:val="000000"/>
          <w:sz w:val="24"/>
        </w:rPr>
        <w:t>采购清单说明</w:t>
      </w:r>
    </w:p>
    <w:p w14:paraId="356840BD">
      <w:pPr>
        <w:keepNext w:val="0"/>
        <w:keepLines w:val="0"/>
        <w:pageBreakBefore w:val="0"/>
        <w:widowControl w:val="0"/>
        <w:kinsoku/>
        <w:wordWrap/>
        <w:overflowPunct/>
        <w:topLinePunct w:val="0"/>
        <w:autoSpaceDE/>
        <w:autoSpaceDN/>
        <w:bidi w:val="0"/>
        <w:snapToGrid/>
        <w:spacing w:line="50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一、原创节目编排</w:t>
      </w:r>
    </w:p>
    <w:p w14:paraId="1C9BD364">
      <w:pPr>
        <w:keepNext w:val="0"/>
        <w:keepLines w:val="0"/>
        <w:pageBreakBefore w:val="0"/>
        <w:widowControl w:val="0"/>
        <w:kinsoku/>
        <w:wordWrap/>
        <w:overflowPunct/>
        <w:topLinePunct w:val="0"/>
        <w:autoSpaceDE/>
        <w:autoSpaceDN/>
        <w:bidi w:val="0"/>
        <w:snapToGrid/>
        <w:spacing w:line="500" w:lineRule="exact"/>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表现全市职工形象节目一个，</w:t>
      </w:r>
      <w:r>
        <w:rPr>
          <w:rFonts w:hint="eastAsia" w:ascii="仿宋" w:hAnsi="仿宋" w:eastAsia="仿宋"/>
          <w:b w:val="0"/>
          <w:bCs w:val="0"/>
          <w:sz w:val="24"/>
          <w:szCs w:val="24"/>
          <w:lang w:val="en-US" w:eastAsia="zh-CN"/>
        </w:rPr>
        <w:t>反映工人和国庆主题的</w:t>
      </w:r>
      <w:r>
        <w:rPr>
          <w:rFonts w:hint="eastAsia" w:ascii="仿宋" w:hAnsi="仿宋" w:eastAsia="仿宋"/>
          <w:sz w:val="24"/>
          <w:szCs w:val="24"/>
          <w:lang w:val="en-US" w:eastAsia="zh-CN"/>
        </w:rPr>
        <w:t>串烧歌曲4首，展现爱国主题歌曲一首。</w:t>
      </w:r>
    </w:p>
    <w:p w14:paraId="5CE12F73">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要求：</w:t>
      </w:r>
      <w:r>
        <w:rPr>
          <w:rFonts w:hint="eastAsia" w:ascii="仿宋" w:hAnsi="仿宋" w:eastAsia="仿宋"/>
          <w:b w:val="0"/>
          <w:bCs w:val="0"/>
          <w:sz w:val="24"/>
          <w:szCs w:val="24"/>
          <w:lang w:val="en-US" w:eastAsia="zh-CN"/>
        </w:rPr>
        <w:t>节目</w:t>
      </w:r>
      <w:r>
        <w:rPr>
          <w:rFonts w:hint="eastAsia" w:ascii="仿宋" w:hAnsi="仿宋" w:eastAsia="仿宋"/>
          <w:sz w:val="24"/>
          <w:szCs w:val="24"/>
          <w:lang w:val="en-US" w:eastAsia="zh-CN"/>
        </w:rPr>
        <w:t>展现芜湖重点企业和行业不少于10个，要体现芜湖职工活力，具有创意和艺术性，并配合大屏视频剪辑和音乐剪辑综合体现，演员人数根据需要采购。歌曲串烧执行方配合挑选优秀职工歌手，选定歌曲，剪辑音乐，剪辑视频，对歌手演唱进行排练和录音，伴舞人数不少于15人。爱国主题歌曲需要邀请劳模工匠代表排练录音及舞蹈编排，伴舞人数不少于10人。</w:t>
      </w:r>
    </w:p>
    <w:p w14:paraId="64C859E6">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二、部分节目改编</w:t>
      </w:r>
    </w:p>
    <w:p w14:paraId="57F804EB">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音诗画节目一个，</w:t>
      </w:r>
      <w:r>
        <w:rPr>
          <w:rFonts w:hint="eastAsia" w:ascii="仿宋" w:hAnsi="仿宋" w:eastAsia="仿宋"/>
          <w:b w:val="0"/>
          <w:bCs w:val="0"/>
          <w:sz w:val="24"/>
          <w:szCs w:val="24"/>
          <w:lang w:val="en-US" w:eastAsia="zh-CN"/>
        </w:rPr>
        <w:t>歌伴舞节目两个。</w:t>
      </w:r>
    </w:p>
    <w:p w14:paraId="140F06A7">
      <w:pPr>
        <w:keepNext w:val="0"/>
        <w:keepLines w:val="0"/>
        <w:pageBreakBefore w:val="0"/>
        <w:widowControl w:val="0"/>
        <w:kinsoku/>
        <w:wordWrap/>
        <w:overflowPunct/>
        <w:topLinePunct w:val="0"/>
        <w:autoSpaceDE/>
        <w:autoSpaceDN/>
        <w:bidi w:val="0"/>
        <w:snapToGrid/>
        <w:spacing w:line="50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要求：</w:t>
      </w:r>
      <w:r>
        <w:rPr>
          <w:rFonts w:hint="eastAsia" w:ascii="仿宋" w:hAnsi="仿宋" w:eastAsia="仿宋"/>
          <w:sz w:val="24"/>
          <w:szCs w:val="24"/>
          <w:lang w:val="en-US" w:eastAsia="zh-CN"/>
        </w:rPr>
        <w:t>音诗画节目要求针对已有节目对部分内容进行重新修改打磨，符合晚会主题。对企业职工演员的排练进行指导不少于3次，修改原视频背景。歌伴舞节目配合采购歌手演唱，伴舞增加人数或者重新编排舞蹈，以及视频制作修改，伴舞人数待定。</w:t>
      </w:r>
    </w:p>
    <w:p w14:paraId="5630DFAF">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三、部分节目打磨排练</w:t>
      </w:r>
    </w:p>
    <w:p w14:paraId="6053EC8E">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企业职工小品、朗诵节目、歌伴舞节目、健身啦啦操等</w:t>
      </w:r>
    </w:p>
    <w:p w14:paraId="0CDEEB89">
      <w:pPr>
        <w:keepNext w:val="0"/>
        <w:keepLines w:val="0"/>
        <w:pageBreakBefore w:val="0"/>
        <w:widowControl w:val="0"/>
        <w:numPr>
          <w:ilvl w:val="0"/>
          <w:numId w:val="0"/>
        </w:numPr>
        <w:kinsoku/>
        <w:wordWrap/>
        <w:overflowPunct/>
        <w:topLinePunct w:val="0"/>
        <w:autoSpaceDE/>
        <w:autoSpaceDN/>
        <w:bidi w:val="0"/>
        <w:snapToGrid/>
        <w:spacing w:line="500" w:lineRule="exact"/>
        <w:ind w:firstLine="482" w:firstLineChars="20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要求：</w:t>
      </w:r>
      <w:r>
        <w:rPr>
          <w:rFonts w:hint="eastAsia" w:ascii="仿宋" w:hAnsi="仿宋" w:eastAsia="仿宋"/>
          <w:b w:val="0"/>
          <w:bCs w:val="0"/>
          <w:sz w:val="24"/>
          <w:szCs w:val="24"/>
          <w:lang w:val="en-US" w:eastAsia="zh-CN"/>
        </w:rPr>
        <w:t>对职工演员进行排练指导和剧本打磨，演员人数根据需要进行增减。</w:t>
      </w:r>
    </w:p>
    <w:p w14:paraId="20B2635F">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四、需要采购节目</w:t>
      </w:r>
    </w:p>
    <w:p w14:paraId="159B5D87">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专业主持人2人及主持词，职工主持人的培训排练，有较高艺术水平，与晚会主题契合的原创舞蹈一个，</w:t>
      </w:r>
      <w:r>
        <w:rPr>
          <w:rFonts w:hint="eastAsia" w:ascii="仿宋" w:hAnsi="仿宋" w:eastAsia="仿宋"/>
          <w:sz w:val="24"/>
          <w:szCs w:val="24"/>
          <w:lang w:val="en-US" w:eastAsia="zh-CN"/>
        </w:rPr>
        <w:t>符合芜湖城市主题的歌舞节目一个，深受年轻职工喜欢的歌曲节目一个。采购节目形式不仅限以上内容，择优采购。</w:t>
      </w:r>
    </w:p>
    <w:p w14:paraId="2577E453">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五、拍摄采购需求</w:t>
      </w:r>
    </w:p>
    <w:p w14:paraId="0F12699C">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活动全程录像，高清拍照。活动前期3个和</w:t>
      </w:r>
      <w:r>
        <w:rPr>
          <w:rFonts w:hint="eastAsia" w:ascii="仿宋" w:hAnsi="仿宋" w:eastAsia="仿宋"/>
          <w:sz w:val="24"/>
          <w:szCs w:val="24"/>
          <w:u w:val="none"/>
          <w:lang w:val="en-US" w:eastAsia="zh-CN"/>
        </w:rPr>
        <w:t>活动现场3个共6个30秒左右花䋈拍摄制作、1个不少于2分钟完整版活动过程拍摄制作。</w:t>
      </w:r>
    </w:p>
    <w:p w14:paraId="3752B51B">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六、其他采购需求</w:t>
      </w:r>
    </w:p>
    <w:p w14:paraId="5AEC5F3E">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演职人员妆造，节目彩排、现场导演执行、舞台监督，整体节目流程编排，彩排期间所有演职人员的盒饭就餐等。</w:t>
      </w:r>
    </w:p>
    <w:p w14:paraId="09246BF0">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七、其他要求</w:t>
      </w:r>
    </w:p>
    <w:p w14:paraId="607C17FE">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1.原创节目需要体现节目创意性，要符合芜湖城市、芜湖职工的特点，形式新颖。</w:t>
      </w:r>
    </w:p>
    <w:p w14:paraId="4977E409">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2.原创节目编导需要有相关节目创作经历。采购的舞蹈演员要为专业舞蹈演员。</w:t>
      </w:r>
    </w:p>
    <w:p w14:paraId="16CD354A">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3.所有节目必须在9月25日前完成所有节目排练任务，经过市总工会节目编排组的审核，9月27日-28日选择时间现场连排不少于一次。</w:t>
      </w:r>
    </w:p>
    <w:p w14:paraId="4BC5F37A">
      <w:pPr>
        <w:keepNext w:val="0"/>
        <w:keepLines w:val="0"/>
        <w:pageBreakBefore w:val="0"/>
        <w:widowControl w:val="0"/>
        <w:numPr>
          <w:ilvl w:val="0"/>
          <w:numId w:val="0"/>
        </w:numPr>
        <w:kinsoku/>
        <w:wordWrap/>
        <w:overflowPunct/>
        <w:topLinePunct w:val="0"/>
        <w:autoSpaceDE/>
        <w:autoSpaceDN/>
        <w:bidi w:val="0"/>
        <w:snapToGrid/>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4.以上节目不是最终节目，由执行方具体统筹安排，要体现较高艺术性。</w:t>
      </w:r>
    </w:p>
    <w:p w14:paraId="02433686">
      <w:pPr>
        <w:keepNext w:val="0"/>
        <w:keepLines w:val="0"/>
        <w:widowControl w:val="0"/>
        <w:suppressLineNumbers w:val="0"/>
        <w:wordWrap w:val="0"/>
        <w:topLinePunct/>
        <w:spacing w:before="0" w:beforeAutospacing="0" w:after="0" w:afterAutospacing="0" w:line="360" w:lineRule="auto"/>
        <w:ind w:left="0" w:right="0"/>
        <w:jc w:val="center"/>
        <w:outlineLvl w:val="1"/>
        <w:rPr>
          <w:rFonts w:hint="eastAsia" w:ascii="仿宋" w:hAnsi="仿宋" w:eastAsia="仿宋"/>
          <w:b/>
          <w:bCs w:val="0"/>
          <w:color w:val="000000"/>
          <w:kern w:val="0"/>
          <w:sz w:val="28"/>
          <w:szCs w:val="28"/>
          <w:lang w:val="en-US" w:eastAsia="zh-CN" w:bidi="ar"/>
        </w:rPr>
      </w:pPr>
      <w:r>
        <w:rPr>
          <w:rFonts w:hint="eastAsia" w:ascii="仿宋" w:hAnsi="仿宋" w:eastAsia="仿宋"/>
          <w:b/>
          <w:bCs w:val="0"/>
          <w:color w:val="000000"/>
          <w:kern w:val="0"/>
          <w:sz w:val="28"/>
          <w:szCs w:val="28"/>
          <w:lang w:val="en-US" w:eastAsia="zh-CN" w:bidi="ar"/>
        </w:rPr>
        <w:t>采购需求一览表</w:t>
      </w:r>
    </w:p>
    <w:tbl>
      <w:tblPr>
        <w:tblStyle w:val="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17"/>
        <w:gridCol w:w="1430"/>
        <w:gridCol w:w="2410"/>
        <w:gridCol w:w="1215"/>
        <w:gridCol w:w="1413"/>
        <w:gridCol w:w="926"/>
      </w:tblGrid>
      <w:tr w14:paraId="7E29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7" w:type="dxa"/>
            <w:vAlign w:val="center"/>
          </w:tcPr>
          <w:p w14:paraId="2AE3593D">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序号</w:t>
            </w:r>
          </w:p>
        </w:tc>
        <w:tc>
          <w:tcPr>
            <w:tcW w:w="1117" w:type="dxa"/>
            <w:vAlign w:val="center"/>
          </w:tcPr>
          <w:p w14:paraId="03FBECF6">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名称</w:t>
            </w:r>
          </w:p>
        </w:tc>
        <w:tc>
          <w:tcPr>
            <w:tcW w:w="1430" w:type="dxa"/>
            <w:vAlign w:val="center"/>
          </w:tcPr>
          <w:p w14:paraId="3634946F">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服务范围</w:t>
            </w:r>
          </w:p>
        </w:tc>
        <w:tc>
          <w:tcPr>
            <w:tcW w:w="2410" w:type="dxa"/>
            <w:vAlign w:val="center"/>
          </w:tcPr>
          <w:p w14:paraId="6381A95A">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服务要求</w:t>
            </w:r>
          </w:p>
        </w:tc>
        <w:tc>
          <w:tcPr>
            <w:tcW w:w="1215" w:type="dxa"/>
            <w:vAlign w:val="center"/>
          </w:tcPr>
          <w:p w14:paraId="699EEE32">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服务时间</w:t>
            </w:r>
          </w:p>
        </w:tc>
        <w:tc>
          <w:tcPr>
            <w:tcW w:w="1413" w:type="dxa"/>
            <w:vAlign w:val="center"/>
          </w:tcPr>
          <w:p w14:paraId="49326FD2">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服务标准</w:t>
            </w:r>
          </w:p>
        </w:tc>
        <w:tc>
          <w:tcPr>
            <w:tcW w:w="926" w:type="dxa"/>
            <w:vAlign w:val="center"/>
          </w:tcPr>
          <w:p w14:paraId="54C6E592">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备注</w:t>
            </w:r>
          </w:p>
        </w:tc>
      </w:tr>
      <w:tr w14:paraId="66A8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7" w:type="dxa"/>
            <w:vAlign w:val="center"/>
          </w:tcPr>
          <w:p w14:paraId="6B0773BC">
            <w:pPr>
              <w:keepNext w:val="0"/>
              <w:keepLines w:val="0"/>
              <w:widowControl w:val="0"/>
              <w:suppressLineNumbers w:val="0"/>
              <w:wordWrap w:val="0"/>
              <w:spacing w:before="0" w:beforeAutospacing="0" w:after="0" w:afterAutospacing="0" w:line="360" w:lineRule="auto"/>
              <w:ind w:left="0" w:right="0"/>
              <w:jc w:val="center"/>
              <w:rPr>
                <w:rFonts w:ascii="Times New Roman" w:hAnsi="Times New Roman" w:eastAsia="仿宋"/>
                <w:color w:val="000000"/>
                <w:kern w:val="0"/>
                <w:sz w:val="21"/>
                <w:szCs w:val="21"/>
                <w:lang w:val="en-US" w:eastAsia="zh-CN" w:bidi="ar"/>
              </w:rPr>
            </w:pPr>
            <w:r>
              <w:rPr>
                <w:rFonts w:ascii="Times New Roman" w:hAnsi="Times New Roman" w:eastAsia="仿宋"/>
                <w:color w:val="000000"/>
                <w:kern w:val="0"/>
                <w:sz w:val="21"/>
                <w:szCs w:val="21"/>
                <w:lang w:val="en-US" w:eastAsia="zh-CN" w:bidi="ar"/>
              </w:rPr>
              <w:t>1</w:t>
            </w:r>
          </w:p>
        </w:tc>
        <w:tc>
          <w:tcPr>
            <w:tcW w:w="1117" w:type="dxa"/>
            <w:vAlign w:val="center"/>
          </w:tcPr>
          <w:p w14:paraId="741F7F21">
            <w:pPr>
              <w:keepNext w:val="0"/>
              <w:keepLines w:val="0"/>
              <w:widowControl w:val="0"/>
              <w:suppressLineNumbers w:val="0"/>
              <w:wordWrap w:val="0"/>
              <w:spacing w:before="0" w:beforeAutospacing="0" w:after="0" w:afterAutospacing="0" w:line="360" w:lineRule="auto"/>
              <w:ind w:left="0" w:right="0"/>
              <w:jc w:val="center"/>
              <w:rPr>
                <w:rFonts w:hint="eastAsia" w:ascii="仿宋" w:hAnsi="仿宋" w:eastAsia="仿宋"/>
                <w:color w:val="000000"/>
                <w:kern w:val="2"/>
                <w:sz w:val="21"/>
                <w:szCs w:val="21"/>
                <w:lang w:val="en-US" w:eastAsia="zh-CN" w:bidi="ar"/>
              </w:rPr>
            </w:pPr>
            <w:r>
              <w:rPr>
                <w:rFonts w:hint="eastAsia" w:ascii="仿宋" w:hAnsi="仿宋" w:eastAsia="仿宋"/>
                <w:color w:val="000000"/>
                <w:kern w:val="2"/>
                <w:sz w:val="21"/>
                <w:szCs w:val="21"/>
                <w:lang w:val="en-US" w:eastAsia="zh-CN" w:bidi="ar"/>
              </w:rPr>
              <w:t>芜湖市总工会庆国庆全市职工文艺汇演演出服务采购</w:t>
            </w:r>
          </w:p>
        </w:tc>
        <w:tc>
          <w:tcPr>
            <w:tcW w:w="1430" w:type="dxa"/>
            <w:vAlign w:val="center"/>
          </w:tcPr>
          <w:p w14:paraId="1056C773">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2"/>
                <w:sz w:val="21"/>
                <w:szCs w:val="21"/>
                <w:lang w:val="en-US" w:eastAsia="zh-CN" w:bidi="ar"/>
              </w:rPr>
            </w:pPr>
            <w:r>
              <w:rPr>
                <w:rFonts w:hint="eastAsia" w:ascii="仿宋" w:hAnsi="仿宋" w:eastAsia="仿宋"/>
                <w:color w:val="000000"/>
                <w:kern w:val="2"/>
                <w:sz w:val="21"/>
                <w:szCs w:val="21"/>
                <w:lang w:val="en-US" w:eastAsia="zh-CN" w:bidi="ar"/>
              </w:rPr>
              <w:t>芜湖市总工会庆国庆全市职工文艺汇演包含原创节目编排，部分节目改编，部分节目打磨排练，采购节目，拍摄等</w:t>
            </w:r>
          </w:p>
        </w:tc>
        <w:tc>
          <w:tcPr>
            <w:tcW w:w="2410" w:type="dxa"/>
            <w:vAlign w:val="center"/>
          </w:tcPr>
          <w:p w14:paraId="37536AB6">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1.原创节目编导需要有相关节目创作经历，提供原创节目在省级以上获得的荣誉。采购的舞蹈演员要为专业舞蹈演员。</w:t>
            </w:r>
          </w:p>
          <w:p w14:paraId="4E8BB381">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2.所有节目必须在9月25日前完成所有节目排练任务，经过市总工会节目编排组的审核，9月27日-28日选择时间现场连排不少于一次</w:t>
            </w:r>
            <w:r>
              <w:rPr>
                <w:rFonts w:hint="eastAsia" w:ascii="仿宋" w:hAnsi="仿宋" w:eastAsia="仿宋"/>
                <w:sz w:val="24"/>
                <w:szCs w:val="24"/>
                <w:lang w:val="en-US" w:eastAsia="zh-CN"/>
              </w:rPr>
              <w:t>。</w:t>
            </w:r>
          </w:p>
        </w:tc>
        <w:tc>
          <w:tcPr>
            <w:tcW w:w="1215" w:type="dxa"/>
            <w:vAlign w:val="center"/>
          </w:tcPr>
          <w:p w14:paraId="72F724BC">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所有节目必须在9月25日前完成所有节目排练任务，经过市总工会节目编排组的审核，9月27日-28日选择时间现场连排不少于一次</w:t>
            </w:r>
          </w:p>
        </w:tc>
        <w:tc>
          <w:tcPr>
            <w:tcW w:w="1413" w:type="dxa"/>
            <w:vAlign w:val="center"/>
          </w:tcPr>
          <w:p w14:paraId="0C02E971">
            <w:pPr>
              <w:keepNext w:val="0"/>
              <w:keepLines w:val="0"/>
              <w:widowControl w:val="0"/>
              <w:suppressLineNumbers w:val="0"/>
              <w:wordWrap w:val="0"/>
              <w:spacing w:before="0" w:beforeAutospacing="0" w:after="0" w:afterAutospacing="0"/>
              <w:ind w:left="0" w:right="0"/>
              <w:jc w:val="center"/>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合格</w:t>
            </w:r>
          </w:p>
        </w:tc>
        <w:tc>
          <w:tcPr>
            <w:tcW w:w="926" w:type="dxa"/>
            <w:vAlign w:val="center"/>
          </w:tcPr>
          <w:p w14:paraId="3D34A2E1">
            <w:pPr>
              <w:keepNext w:val="0"/>
              <w:keepLines w:val="0"/>
              <w:widowControl w:val="0"/>
              <w:suppressLineNumbers w:val="0"/>
              <w:wordWrap w:val="0"/>
              <w:spacing w:before="0" w:beforeAutospacing="0" w:after="0" w:afterAutospacing="0"/>
              <w:ind w:left="0" w:right="0"/>
              <w:jc w:val="center"/>
              <w:rPr>
                <w:rFonts w:hint="eastAsia" w:ascii="Times New Roman" w:hAnsi="Times New Roman" w:eastAsia="仿宋"/>
                <w:color w:val="000000"/>
                <w:kern w:val="0"/>
                <w:sz w:val="21"/>
                <w:szCs w:val="21"/>
              </w:rPr>
            </w:pPr>
          </w:p>
        </w:tc>
      </w:tr>
    </w:tbl>
    <w:p w14:paraId="39B7FFAC">
      <w:pPr>
        <w:pStyle w:val="45"/>
        <w:tabs>
          <w:tab w:val="left" w:pos="1185"/>
        </w:tabs>
        <w:ind w:firstLine="0" w:firstLineChars="0"/>
        <w:rPr>
          <w:rFonts w:hint="eastAsia" w:ascii="仿宋" w:hAnsi="仿宋" w:eastAsia="仿宋"/>
          <w:color w:val="000000"/>
          <w:sz w:val="24"/>
          <w:szCs w:val="24"/>
          <w:lang w:eastAsia="zh-CN"/>
        </w:rPr>
      </w:pPr>
    </w:p>
    <w:p w14:paraId="5747BA78">
      <w:pPr>
        <w:pStyle w:val="4"/>
        <w:spacing w:line="500" w:lineRule="exact"/>
        <w:ind w:firstLine="0"/>
        <w:rPr>
          <w:rFonts w:hint="eastAsia" w:ascii="仿宋" w:hAnsi="仿宋" w:eastAsia="仿宋"/>
          <w:color w:val="000000"/>
          <w:sz w:val="28"/>
        </w:rPr>
      </w:pPr>
      <w:r>
        <w:rPr>
          <w:rFonts w:hint="eastAsia" w:ascii="仿宋" w:hAnsi="仿宋" w:eastAsia="仿宋"/>
          <w:color w:val="000000"/>
          <w:sz w:val="28"/>
        </w:rPr>
        <w:br w:type="page"/>
      </w:r>
      <w:r>
        <w:rPr>
          <w:rFonts w:hint="eastAsia" w:ascii="仿宋" w:hAnsi="仿宋" w:eastAsia="仿宋"/>
          <w:color w:val="000000"/>
          <w:sz w:val="28"/>
        </w:rPr>
        <w:t>第五章  评审程序及评定成交的标准</w:t>
      </w:r>
    </w:p>
    <w:p w14:paraId="7E157649">
      <w:pPr>
        <w:spacing w:line="276" w:lineRule="auto"/>
        <w:rPr>
          <w:rFonts w:hint="eastAsia" w:ascii="仿宋" w:hAnsi="仿宋" w:eastAsia="仿宋"/>
          <w:b/>
          <w:color w:val="000000"/>
          <w:sz w:val="24"/>
        </w:rPr>
      </w:pPr>
      <w:bookmarkStart w:id="5" w:name="EB066763282e454600abc10582fb4919e1"/>
      <w:r>
        <w:rPr>
          <w:rFonts w:hint="eastAsia" w:ascii="仿宋" w:hAnsi="仿宋" w:eastAsia="仿宋"/>
          <w:b/>
          <w:color w:val="000000"/>
          <w:sz w:val="24"/>
        </w:rPr>
        <w:t>一、评审程序</w:t>
      </w:r>
    </w:p>
    <w:p w14:paraId="54420D36">
      <w:pPr>
        <w:spacing w:line="276" w:lineRule="auto"/>
        <w:rPr>
          <w:rFonts w:hint="eastAsia" w:ascii="仿宋" w:hAnsi="仿宋" w:eastAsia="仿宋"/>
          <w:b/>
          <w:color w:val="000000"/>
          <w:sz w:val="24"/>
        </w:rPr>
      </w:pPr>
      <w:r>
        <w:rPr>
          <w:rFonts w:hint="eastAsia" w:ascii="仿宋" w:hAnsi="仿宋" w:eastAsia="仿宋"/>
          <w:b/>
          <w:color w:val="000000"/>
          <w:sz w:val="24"/>
        </w:rPr>
        <w:t xml:space="preserve">（一）、评审原则 </w:t>
      </w:r>
    </w:p>
    <w:p w14:paraId="368780ED">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1、合法、合规原则。</w:t>
      </w:r>
    </w:p>
    <w:p w14:paraId="7CCB0247">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2、符合芜湖市公共资源交易规则原则。</w:t>
      </w:r>
    </w:p>
    <w:p w14:paraId="352D26EB">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3、公平、公正、科学、审慎、择优原则。</w:t>
      </w:r>
    </w:p>
    <w:p w14:paraId="04967A33">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4、高分优先原则。衡量响应文件满足竞争性磋商文件规定的各项评审标准的程度，折算为综合得分分值，依据每个磋商供应商的综合得分由高到低，依次确定排名顺序。</w:t>
      </w:r>
    </w:p>
    <w:p w14:paraId="676F3023">
      <w:pPr>
        <w:spacing w:line="276" w:lineRule="auto"/>
        <w:rPr>
          <w:rFonts w:hint="eastAsia" w:ascii="仿宋" w:hAnsi="仿宋" w:eastAsia="仿宋"/>
          <w:color w:val="000000"/>
          <w:sz w:val="24"/>
        </w:rPr>
      </w:pPr>
      <w:bookmarkStart w:id="6" w:name="_Hlk35936807"/>
      <w:bookmarkStart w:id="7" w:name="_Hlk39906399"/>
      <w:r>
        <w:rPr>
          <w:rFonts w:hint="eastAsia" w:ascii="仿宋" w:hAnsi="仿宋" w:eastAsia="仿宋"/>
          <w:color w:val="000000"/>
          <w:sz w:val="24"/>
        </w:rPr>
        <w:t>（二）</w:t>
      </w:r>
      <w:r>
        <w:rPr>
          <w:rFonts w:hint="eastAsia" w:ascii="仿宋" w:hAnsi="仿宋" w:eastAsia="仿宋"/>
          <w:b/>
          <w:color w:val="000000"/>
          <w:sz w:val="24"/>
        </w:rPr>
        <w:t>评审内容</w:t>
      </w:r>
    </w:p>
    <w:p w14:paraId="3A74702F">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1、磋商响应文件评审内容及标准</w:t>
      </w:r>
    </w:p>
    <w:p w14:paraId="7069F7CB">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磋商小组对响应文件的资格性响应作合格性审查,审查结论分为“合格”与“不合格”。审查不合格的投标文件不再进行后续评审。</w:t>
      </w:r>
    </w:p>
    <w:p w14:paraId="7122C2F1">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有下列审查标准情形之一的，</w:t>
      </w:r>
      <w:r>
        <w:rPr>
          <w:rFonts w:hint="eastAsia" w:ascii="仿宋" w:hAnsi="仿宋" w:eastAsia="仿宋"/>
          <w:color w:val="000000"/>
          <w:sz w:val="24"/>
          <w:szCs w:val="24"/>
        </w:rPr>
        <w:t>应按照无效响应处理</w:t>
      </w:r>
      <w:r>
        <w:rPr>
          <w:rFonts w:hint="eastAsia" w:ascii="仿宋" w:hAnsi="仿宋" w:eastAsia="仿宋"/>
          <w:color w:val="000000"/>
          <w:sz w:val="24"/>
        </w:rPr>
        <w:t>：</w:t>
      </w:r>
    </w:p>
    <w:tbl>
      <w:tblPr>
        <w:tblStyle w:val="2"/>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784"/>
        <w:gridCol w:w="5055"/>
      </w:tblGrid>
      <w:tr w14:paraId="2714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776" w:type="dxa"/>
            <w:gridSpan w:val="2"/>
            <w:vAlign w:val="center"/>
          </w:tcPr>
          <w:p w14:paraId="064FD000">
            <w:pPr>
              <w:spacing w:line="440" w:lineRule="exact"/>
              <w:ind w:firstLine="630" w:firstLineChars="300"/>
              <w:rPr>
                <w:rFonts w:hint="eastAsia" w:ascii="仿宋" w:hAnsi="仿宋" w:eastAsia="仿宋"/>
                <w:color w:val="000000"/>
              </w:rPr>
            </w:pPr>
            <w:r>
              <w:rPr>
                <w:rFonts w:hint="eastAsia" w:ascii="仿宋" w:hAnsi="仿宋" w:eastAsia="仿宋"/>
                <w:color w:val="000000"/>
              </w:rPr>
              <w:t>审查内容</w:t>
            </w:r>
          </w:p>
        </w:tc>
        <w:tc>
          <w:tcPr>
            <w:tcW w:w="5055" w:type="dxa"/>
            <w:vAlign w:val="center"/>
          </w:tcPr>
          <w:p w14:paraId="1FA0EAB9">
            <w:pPr>
              <w:spacing w:line="440" w:lineRule="exact"/>
              <w:ind w:firstLine="630" w:firstLineChars="300"/>
              <w:rPr>
                <w:rFonts w:hint="eastAsia" w:ascii="仿宋" w:hAnsi="仿宋" w:eastAsia="仿宋"/>
                <w:color w:val="000000"/>
              </w:rPr>
            </w:pPr>
            <w:r>
              <w:rPr>
                <w:rFonts w:hint="eastAsia" w:ascii="仿宋" w:hAnsi="仿宋" w:eastAsia="仿宋"/>
                <w:color w:val="000000"/>
              </w:rPr>
              <w:t>审查标准</w:t>
            </w:r>
          </w:p>
        </w:tc>
      </w:tr>
      <w:tr w14:paraId="3EE3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vAlign w:val="center"/>
          </w:tcPr>
          <w:p w14:paraId="74930CDC">
            <w:pPr>
              <w:spacing w:line="440" w:lineRule="exact"/>
              <w:rPr>
                <w:rFonts w:hint="eastAsia" w:ascii="仿宋" w:hAnsi="仿宋" w:eastAsia="仿宋"/>
                <w:color w:val="000000"/>
              </w:rPr>
            </w:pPr>
            <w:r>
              <w:rPr>
                <w:rFonts w:hint="eastAsia" w:ascii="仿宋" w:hAnsi="仿宋" w:eastAsia="仿宋"/>
                <w:color w:val="000000"/>
              </w:rPr>
              <w:t>资格性审查</w:t>
            </w:r>
          </w:p>
        </w:tc>
        <w:tc>
          <w:tcPr>
            <w:tcW w:w="2784" w:type="dxa"/>
            <w:vAlign w:val="center"/>
          </w:tcPr>
          <w:p w14:paraId="0D260755">
            <w:pPr>
              <w:spacing w:line="440" w:lineRule="exact"/>
              <w:jc w:val="left"/>
              <w:rPr>
                <w:rFonts w:hint="eastAsia" w:ascii="仿宋" w:hAnsi="仿宋" w:eastAsia="仿宋"/>
                <w:color w:val="000000"/>
              </w:rPr>
            </w:pPr>
            <w:r>
              <w:rPr>
                <w:rFonts w:hint="eastAsia" w:ascii="仿宋" w:hAnsi="仿宋" w:eastAsia="仿宋"/>
                <w:color w:val="000000"/>
              </w:rPr>
              <w:t>营业执照</w:t>
            </w:r>
          </w:p>
        </w:tc>
        <w:tc>
          <w:tcPr>
            <w:tcW w:w="5055" w:type="dxa"/>
            <w:vAlign w:val="center"/>
          </w:tcPr>
          <w:p w14:paraId="75C919D3">
            <w:pPr>
              <w:spacing w:line="440" w:lineRule="exact"/>
              <w:rPr>
                <w:rFonts w:hint="eastAsia" w:ascii="仿宋" w:hAnsi="仿宋" w:eastAsia="仿宋"/>
                <w:color w:val="000000"/>
              </w:rPr>
            </w:pPr>
            <w:r>
              <w:rPr>
                <w:rFonts w:hint="eastAsia" w:ascii="仿宋" w:hAnsi="仿宋" w:eastAsia="仿宋"/>
                <w:color w:val="000000"/>
              </w:rPr>
              <w:t>未提供合法有效工商营业执照</w:t>
            </w:r>
          </w:p>
        </w:tc>
      </w:tr>
      <w:tr w14:paraId="1D8F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vAlign w:val="center"/>
          </w:tcPr>
          <w:p w14:paraId="4B5ACADE">
            <w:pPr>
              <w:spacing w:line="440" w:lineRule="exact"/>
              <w:ind w:firstLine="630" w:firstLineChars="300"/>
              <w:rPr>
                <w:rFonts w:hint="eastAsia" w:ascii="仿宋" w:hAnsi="仿宋" w:eastAsia="仿宋"/>
                <w:color w:val="000000"/>
              </w:rPr>
            </w:pPr>
          </w:p>
        </w:tc>
        <w:tc>
          <w:tcPr>
            <w:tcW w:w="2784" w:type="dxa"/>
            <w:vAlign w:val="center"/>
          </w:tcPr>
          <w:p w14:paraId="5544B583">
            <w:pPr>
              <w:spacing w:line="440" w:lineRule="exact"/>
              <w:jc w:val="left"/>
              <w:rPr>
                <w:rFonts w:hint="eastAsia" w:ascii="仿宋" w:hAnsi="仿宋" w:eastAsia="仿宋"/>
                <w:color w:val="000000"/>
              </w:rPr>
            </w:pPr>
            <w:r>
              <w:rPr>
                <w:rFonts w:hint="eastAsia" w:ascii="仿宋" w:hAnsi="仿宋" w:eastAsia="仿宋"/>
                <w:color w:val="000000"/>
              </w:rPr>
              <w:t>资格条件</w:t>
            </w:r>
          </w:p>
        </w:tc>
        <w:tc>
          <w:tcPr>
            <w:tcW w:w="5055" w:type="dxa"/>
            <w:vAlign w:val="center"/>
          </w:tcPr>
          <w:p w14:paraId="2A0F7F7B">
            <w:pPr>
              <w:spacing w:line="440" w:lineRule="exact"/>
              <w:rPr>
                <w:rFonts w:hint="eastAsia" w:ascii="仿宋" w:hAnsi="仿宋" w:eastAsia="仿宋"/>
                <w:color w:val="000000"/>
              </w:rPr>
            </w:pPr>
            <w:r>
              <w:rPr>
                <w:rFonts w:hint="eastAsia" w:ascii="仿宋" w:hAnsi="仿宋" w:eastAsia="仿宋"/>
                <w:color w:val="000000"/>
              </w:rPr>
              <w:t>不符合竞争性磋商采购文件要求</w:t>
            </w:r>
          </w:p>
        </w:tc>
      </w:tr>
      <w:tr w14:paraId="7A2D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Merge w:val="continue"/>
            <w:vAlign w:val="center"/>
          </w:tcPr>
          <w:p w14:paraId="523424F8">
            <w:pPr>
              <w:spacing w:line="440" w:lineRule="exact"/>
              <w:ind w:firstLine="630" w:firstLineChars="300"/>
              <w:rPr>
                <w:rFonts w:hint="eastAsia" w:ascii="仿宋" w:hAnsi="仿宋" w:eastAsia="仿宋"/>
                <w:color w:val="000000"/>
              </w:rPr>
            </w:pPr>
          </w:p>
        </w:tc>
        <w:tc>
          <w:tcPr>
            <w:tcW w:w="2784" w:type="dxa"/>
            <w:vAlign w:val="center"/>
          </w:tcPr>
          <w:p w14:paraId="6E9FAF04">
            <w:pPr>
              <w:rPr>
                <w:rFonts w:hint="eastAsia" w:ascii="仿宋" w:hAnsi="仿宋" w:eastAsia="仿宋"/>
                <w:color w:val="000000"/>
              </w:rPr>
            </w:pPr>
            <w:r>
              <w:rPr>
                <w:rFonts w:hint="eastAsia" w:ascii="仿宋" w:hAnsi="仿宋" w:eastAsia="仿宋"/>
                <w:color w:val="000000"/>
              </w:rPr>
              <w:t>法定代表人或授权代表资格</w:t>
            </w:r>
          </w:p>
        </w:tc>
        <w:tc>
          <w:tcPr>
            <w:tcW w:w="5055" w:type="dxa"/>
            <w:vAlign w:val="center"/>
          </w:tcPr>
          <w:p w14:paraId="7D94D94E">
            <w:pPr>
              <w:rPr>
                <w:rFonts w:hint="eastAsia" w:ascii="仿宋" w:hAnsi="仿宋" w:eastAsia="仿宋"/>
                <w:color w:val="000000"/>
              </w:rPr>
            </w:pPr>
            <w:r>
              <w:rPr>
                <w:rFonts w:hint="eastAsia" w:ascii="仿宋" w:hAnsi="仿宋" w:eastAsia="仿宋"/>
                <w:color w:val="000000"/>
              </w:rPr>
              <w:t>不符合竞争性磋商采购文件要求</w:t>
            </w:r>
          </w:p>
        </w:tc>
      </w:tr>
      <w:tr w14:paraId="16F8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92" w:type="dxa"/>
            <w:vMerge w:val="continue"/>
            <w:vAlign w:val="center"/>
          </w:tcPr>
          <w:p w14:paraId="7AB64ED6">
            <w:pPr>
              <w:spacing w:line="440" w:lineRule="exact"/>
              <w:ind w:firstLine="630" w:firstLineChars="300"/>
              <w:rPr>
                <w:rFonts w:hint="eastAsia" w:ascii="仿宋" w:hAnsi="仿宋" w:eastAsia="仿宋"/>
                <w:color w:val="000000"/>
              </w:rPr>
            </w:pPr>
          </w:p>
        </w:tc>
        <w:tc>
          <w:tcPr>
            <w:tcW w:w="2784" w:type="dxa"/>
            <w:vAlign w:val="center"/>
          </w:tcPr>
          <w:p w14:paraId="7B2C4857">
            <w:pPr>
              <w:spacing w:line="440" w:lineRule="exact"/>
              <w:jc w:val="left"/>
              <w:rPr>
                <w:rFonts w:hint="eastAsia" w:ascii="仿宋" w:hAnsi="仿宋" w:eastAsia="仿宋"/>
                <w:color w:val="000000"/>
              </w:rPr>
            </w:pPr>
            <w:r>
              <w:rPr>
                <w:rFonts w:hint="eastAsia" w:ascii="仿宋" w:hAnsi="仿宋" w:eastAsia="仿宋"/>
                <w:color w:val="000000"/>
              </w:rPr>
              <w:t>其他</w:t>
            </w:r>
          </w:p>
        </w:tc>
        <w:tc>
          <w:tcPr>
            <w:tcW w:w="5055" w:type="dxa"/>
            <w:vAlign w:val="center"/>
          </w:tcPr>
          <w:p w14:paraId="7A911959">
            <w:pPr>
              <w:spacing w:line="440" w:lineRule="exact"/>
              <w:rPr>
                <w:rFonts w:hint="eastAsia" w:ascii="仿宋" w:hAnsi="仿宋" w:eastAsia="仿宋"/>
                <w:color w:val="000000"/>
              </w:rPr>
            </w:pPr>
            <w:r>
              <w:rPr>
                <w:rFonts w:hint="eastAsia" w:ascii="仿宋" w:hAnsi="仿宋" w:eastAsia="仿宋"/>
                <w:color w:val="000000"/>
              </w:rPr>
              <w:t>投标供应商被行政监督部门作出禁止投标处罚且在有效期内的，或其他违反法律法规和竞争性磋商采购文件规定的情形</w:t>
            </w:r>
          </w:p>
        </w:tc>
      </w:tr>
    </w:tbl>
    <w:p w14:paraId="45DD1814">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磋商小组应对响应文件的符合性响应作合格性评审, 评审结论分为“合格”与“不合格”。评审不合格的响应文件不再进行后续一对一磋商。</w:t>
      </w:r>
    </w:p>
    <w:p w14:paraId="57C02D48">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有下列评审标准情形之一的，</w:t>
      </w:r>
      <w:r>
        <w:rPr>
          <w:rFonts w:hint="eastAsia" w:ascii="仿宋" w:hAnsi="仿宋" w:eastAsia="仿宋"/>
          <w:color w:val="000000"/>
          <w:sz w:val="24"/>
          <w:szCs w:val="24"/>
        </w:rPr>
        <w:t>应按照无效响应处理</w:t>
      </w:r>
      <w:r>
        <w:rPr>
          <w:rFonts w:hint="eastAsia" w:ascii="仿宋" w:hAnsi="仿宋" w:eastAsia="仿宋"/>
          <w:color w:val="000000"/>
          <w:sz w:val="24"/>
        </w:rPr>
        <w:t>：</w:t>
      </w:r>
    </w:p>
    <w:tbl>
      <w:tblPr>
        <w:tblStyle w:val="2"/>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812"/>
        <w:gridCol w:w="5055"/>
      </w:tblGrid>
      <w:tr w14:paraId="16E9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6" w:type="dxa"/>
            <w:gridSpan w:val="2"/>
            <w:vAlign w:val="center"/>
          </w:tcPr>
          <w:p w14:paraId="7AFFCDA9">
            <w:pPr>
              <w:spacing w:line="440" w:lineRule="exact"/>
              <w:ind w:firstLine="630" w:firstLineChars="300"/>
              <w:rPr>
                <w:rFonts w:hint="eastAsia" w:ascii="仿宋" w:hAnsi="仿宋" w:eastAsia="仿宋"/>
                <w:color w:val="000000"/>
              </w:rPr>
            </w:pPr>
            <w:r>
              <w:rPr>
                <w:rFonts w:hint="eastAsia" w:ascii="仿宋" w:hAnsi="仿宋" w:eastAsia="仿宋"/>
                <w:color w:val="000000"/>
              </w:rPr>
              <w:t>审查内容</w:t>
            </w:r>
          </w:p>
        </w:tc>
        <w:tc>
          <w:tcPr>
            <w:tcW w:w="5055" w:type="dxa"/>
            <w:vAlign w:val="center"/>
          </w:tcPr>
          <w:p w14:paraId="49516081">
            <w:pPr>
              <w:spacing w:line="440" w:lineRule="exact"/>
              <w:ind w:firstLine="630" w:firstLineChars="300"/>
              <w:rPr>
                <w:rFonts w:hint="eastAsia" w:ascii="仿宋" w:hAnsi="仿宋" w:eastAsia="仿宋"/>
                <w:color w:val="000000"/>
              </w:rPr>
            </w:pPr>
            <w:r>
              <w:rPr>
                <w:rFonts w:hint="eastAsia" w:ascii="仿宋" w:hAnsi="仿宋" w:eastAsia="仿宋"/>
                <w:color w:val="000000"/>
              </w:rPr>
              <w:t>审查标准</w:t>
            </w:r>
          </w:p>
        </w:tc>
      </w:tr>
      <w:tr w14:paraId="206A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restart"/>
            <w:vAlign w:val="center"/>
          </w:tcPr>
          <w:p w14:paraId="71F586F2">
            <w:pPr>
              <w:spacing w:line="440" w:lineRule="exact"/>
              <w:rPr>
                <w:rFonts w:hint="eastAsia" w:ascii="仿宋" w:hAnsi="仿宋" w:eastAsia="仿宋"/>
                <w:color w:val="000000"/>
              </w:rPr>
            </w:pPr>
            <w:r>
              <w:rPr>
                <w:rFonts w:hint="eastAsia" w:ascii="仿宋" w:hAnsi="仿宋" w:eastAsia="仿宋"/>
                <w:color w:val="000000"/>
              </w:rPr>
              <w:t>符合性审查</w:t>
            </w:r>
          </w:p>
        </w:tc>
        <w:tc>
          <w:tcPr>
            <w:tcW w:w="2812" w:type="dxa"/>
            <w:vAlign w:val="center"/>
          </w:tcPr>
          <w:p w14:paraId="7BA13096">
            <w:pPr>
              <w:spacing w:line="440" w:lineRule="exact"/>
              <w:jc w:val="left"/>
              <w:rPr>
                <w:rFonts w:hint="eastAsia" w:ascii="仿宋" w:hAnsi="仿宋" w:eastAsia="仿宋"/>
                <w:color w:val="000000"/>
              </w:rPr>
            </w:pPr>
            <w:r>
              <w:rPr>
                <w:rFonts w:hint="eastAsia" w:ascii="仿宋" w:hAnsi="仿宋" w:eastAsia="仿宋"/>
                <w:color w:val="000000"/>
              </w:rPr>
              <w:t>供应商名称</w:t>
            </w:r>
          </w:p>
        </w:tc>
        <w:tc>
          <w:tcPr>
            <w:tcW w:w="5055" w:type="dxa"/>
            <w:vAlign w:val="center"/>
          </w:tcPr>
          <w:p w14:paraId="4BB61440">
            <w:pPr>
              <w:spacing w:line="440" w:lineRule="exact"/>
              <w:jc w:val="left"/>
              <w:rPr>
                <w:rFonts w:hint="eastAsia" w:ascii="仿宋" w:hAnsi="仿宋" w:eastAsia="仿宋"/>
                <w:color w:val="000000"/>
              </w:rPr>
            </w:pPr>
            <w:r>
              <w:rPr>
                <w:rFonts w:hint="eastAsia" w:ascii="仿宋" w:hAnsi="仿宋" w:eastAsia="仿宋"/>
                <w:color w:val="000000"/>
              </w:rPr>
              <w:t>与营业执照、资质证书等不一致</w:t>
            </w:r>
          </w:p>
        </w:tc>
      </w:tr>
      <w:tr w14:paraId="35A6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vAlign w:val="center"/>
          </w:tcPr>
          <w:p w14:paraId="46326598">
            <w:pPr>
              <w:spacing w:line="440" w:lineRule="exact"/>
              <w:ind w:firstLine="630" w:firstLineChars="300"/>
              <w:rPr>
                <w:rFonts w:hint="eastAsia" w:ascii="仿宋" w:hAnsi="仿宋" w:eastAsia="仿宋"/>
                <w:color w:val="000000"/>
              </w:rPr>
            </w:pPr>
          </w:p>
        </w:tc>
        <w:tc>
          <w:tcPr>
            <w:tcW w:w="2812" w:type="dxa"/>
            <w:vAlign w:val="center"/>
          </w:tcPr>
          <w:p w14:paraId="7D53380D">
            <w:pPr>
              <w:spacing w:line="440" w:lineRule="exact"/>
              <w:jc w:val="left"/>
              <w:rPr>
                <w:rFonts w:hint="eastAsia" w:ascii="仿宋" w:hAnsi="仿宋" w:eastAsia="仿宋"/>
                <w:color w:val="000000"/>
              </w:rPr>
            </w:pPr>
            <w:r>
              <w:rPr>
                <w:rFonts w:hint="eastAsia" w:ascii="仿宋" w:hAnsi="仿宋" w:eastAsia="仿宋"/>
                <w:color w:val="000000"/>
              </w:rPr>
              <w:t>响应文件签署</w:t>
            </w:r>
          </w:p>
        </w:tc>
        <w:tc>
          <w:tcPr>
            <w:tcW w:w="5055" w:type="dxa"/>
            <w:vAlign w:val="center"/>
          </w:tcPr>
          <w:p w14:paraId="3ED81BCA">
            <w:pPr>
              <w:spacing w:line="440" w:lineRule="exact"/>
              <w:jc w:val="left"/>
              <w:rPr>
                <w:rFonts w:hint="eastAsia" w:ascii="仿宋" w:hAnsi="仿宋" w:eastAsia="仿宋"/>
                <w:color w:val="000000"/>
              </w:rPr>
            </w:pPr>
            <w:r>
              <w:rPr>
                <w:rFonts w:hint="eastAsia" w:ascii="仿宋" w:hAnsi="仿宋" w:eastAsia="仿宋"/>
                <w:color w:val="000000"/>
              </w:rPr>
              <w:t>未按竞争性磋商采购文件要求加盖公章且无法定代表人或授权代表签字（签章）</w:t>
            </w:r>
          </w:p>
        </w:tc>
      </w:tr>
      <w:tr w14:paraId="6D1D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vAlign w:val="center"/>
          </w:tcPr>
          <w:p w14:paraId="2B2369E1">
            <w:pPr>
              <w:spacing w:line="440" w:lineRule="exact"/>
              <w:ind w:firstLine="630" w:firstLineChars="300"/>
              <w:rPr>
                <w:rFonts w:hint="eastAsia" w:ascii="仿宋" w:hAnsi="仿宋" w:eastAsia="仿宋"/>
                <w:color w:val="000000"/>
              </w:rPr>
            </w:pPr>
          </w:p>
        </w:tc>
        <w:tc>
          <w:tcPr>
            <w:tcW w:w="2812" w:type="dxa"/>
            <w:vAlign w:val="center"/>
          </w:tcPr>
          <w:p w14:paraId="49431081">
            <w:pPr>
              <w:spacing w:line="440" w:lineRule="exact"/>
              <w:jc w:val="left"/>
              <w:rPr>
                <w:rFonts w:hint="eastAsia" w:ascii="仿宋" w:hAnsi="仿宋" w:eastAsia="仿宋"/>
                <w:color w:val="000000"/>
              </w:rPr>
            </w:pPr>
            <w:r>
              <w:rPr>
                <w:rFonts w:hint="eastAsia" w:ascii="仿宋" w:hAnsi="仿宋" w:eastAsia="仿宋"/>
                <w:color w:val="000000"/>
              </w:rPr>
              <w:t>响应方案及报价</w:t>
            </w:r>
          </w:p>
        </w:tc>
        <w:tc>
          <w:tcPr>
            <w:tcW w:w="5055" w:type="dxa"/>
            <w:vAlign w:val="center"/>
          </w:tcPr>
          <w:p w14:paraId="43E4FD49">
            <w:pPr>
              <w:spacing w:line="440" w:lineRule="exact"/>
              <w:jc w:val="left"/>
              <w:rPr>
                <w:rFonts w:hint="eastAsia" w:ascii="仿宋" w:hAnsi="仿宋" w:eastAsia="仿宋"/>
                <w:color w:val="000000"/>
              </w:rPr>
            </w:pPr>
            <w:r>
              <w:rPr>
                <w:rFonts w:hint="eastAsia" w:ascii="仿宋" w:hAnsi="仿宋" w:eastAsia="仿宋"/>
                <w:color w:val="000000"/>
              </w:rPr>
              <w:t>递交两份或多份内容不同的响应文件，或在一份响应文件中对同一招标项目有两个或多个报价，且未声明哪一个有效的</w:t>
            </w:r>
          </w:p>
        </w:tc>
      </w:tr>
      <w:tr w14:paraId="3813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vAlign w:val="center"/>
          </w:tcPr>
          <w:p w14:paraId="4576BCDE">
            <w:pPr>
              <w:spacing w:line="440" w:lineRule="exact"/>
              <w:ind w:firstLine="630" w:firstLineChars="300"/>
              <w:rPr>
                <w:rFonts w:hint="eastAsia" w:ascii="仿宋" w:hAnsi="仿宋" w:eastAsia="仿宋"/>
                <w:color w:val="000000"/>
              </w:rPr>
            </w:pPr>
          </w:p>
        </w:tc>
        <w:tc>
          <w:tcPr>
            <w:tcW w:w="2812" w:type="dxa"/>
            <w:vAlign w:val="center"/>
          </w:tcPr>
          <w:p w14:paraId="4EDBD957">
            <w:pPr>
              <w:spacing w:line="440" w:lineRule="exact"/>
              <w:jc w:val="left"/>
              <w:rPr>
                <w:rFonts w:hint="eastAsia" w:ascii="仿宋" w:hAnsi="仿宋" w:eastAsia="仿宋"/>
                <w:color w:val="000000"/>
              </w:rPr>
            </w:pPr>
            <w:r>
              <w:rPr>
                <w:rFonts w:hint="eastAsia" w:ascii="仿宋" w:hAnsi="仿宋" w:eastAsia="仿宋"/>
                <w:color w:val="000000"/>
              </w:rPr>
              <w:t>响应有效期</w:t>
            </w:r>
          </w:p>
        </w:tc>
        <w:tc>
          <w:tcPr>
            <w:tcW w:w="5055" w:type="dxa"/>
            <w:vAlign w:val="center"/>
          </w:tcPr>
          <w:p w14:paraId="720F25A2">
            <w:pPr>
              <w:spacing w:line="440" w:lineRule="exact"/>
              <w:jc w:val="left"/>
              <w:rPr>
                <w:rFonts w:hint="eastAsia" w:ascii="仿宋" w:hAnsi="仿宋" w:eastAsia="仿宋"/>
                <w:color w:val="000000"/>
              </w:rPr>
            </w:pPr>
            <w:r>
              <w:rPr>
                <w:rFonts w:hint="eastAsia" w:ascii="仿宋" w:hAnsi="仿宋" w:eastAsia="仿宋"/>
                <w:color w:val="000000"/>
              </w:rPr>
              <w:t>不符合竞争性磋商采购文件要求</w:t>
            </w:r>
          </w:p>
        </w:tc>
      </w:tr>
      <w:tr w14:paraId="2B13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vAlign w:val="center"/>
          </w:tcPr>
          <w:p w14:paraId="6D2689A3">
            <w:pPr>
              <w:spacing w:line="440" w:lineRule="exact"/>
              <w:ind w:firstLine="630" w:firstLineChars="300"/>
              <w:rPr>
                <w:rFonts w:hint="eastAsia" w:ascii="仿宋" w:hAnsi="仿宋" w:eastAsia="仿宋"/>
                <w:color w:val="000000"/>
              </w:rPr>
            </w:pPr>
          </w:p>
        </w:tc>
        <w:tc>
          <w:tcPr>
            <w:tcW w:w="2812" w:type="dxa"/>
            <w:vAlign w:val="center"/>
          </w:tcPr>
          <w:p w14:paraId="1E867C76">
            <w:pPr>
              <w:spacing w:line="440" w:lineRule="exact"/>
              <w:jc w:val="left"/>
              <w:rPr>
                <w:rFonts w:hint="eastAsia" w:ascii="仿宋" w:hAnsi="仿宋" w:eastAsia="仿宋"/>
                <w:color w:val="000000"/>
              </w:rPr>
            </w:pPr>
            <w:r>
              <w:rPr>
                <w:rFonts w:hint="eastAsia" w:ascii="仿宋" w:hAnsi="仿宋" w:eastAsia="仿宋"/>
                <w:color w:val="000000"/>
              </w:rPr>
              <w:t>服务时间、地点、付款方式</w:t>
            </w:r>
          </w:p>
        </w:tc>
        <w:tc>
          <w:tcPr>
            <w:tcW w:w="5055" w:type="dxa"/>
            <w:vAlign w:val="center"/>
          </w:tcPr>
          <w:p w14:paraId="52748CFD">
            <w:pPr>
              <w:spacing w:line="440" w:lineRule="exact"/>
              <w:jc w:val="left"/>
              <w:rPr>
                <w:rFonts w:hint="eastAsia" w:ascii="仿宋" w:hAnsi="仿宋" w:eastAsia="仿宋"/>
                <w:color w:val="000000"/>
              </w:rPr>
            </w:pPr>
            <w:r>
              <w:rPr>
                <w:rFonts w:hint="eastAsia" w:ascii="仿宋" w:hAnsi="仿宋" w:eastAsia="仿宋"/>
                <w:color w:val="000000"/>
              </w:rPr>
              <w:t>不符合竞争性磋商采购文件要求</w:t>
            </w:r>
          </w:p>
        </w:tc>
      </w:tr>
      <w:tr w14:paraId="48D2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vMerge w:val="continue"/>
            <w:vAlign w:val="center"/>
          </w:tcPr>
          <w:p w14:paraId="7939AA10">
            <w:pPr>
              <w:spacing w:line="440" w:lineRule="exact"/>
              <w:ind w:firstLine="630" w:firstLineChars="300"/>
              <w:rPr>
                <w:rFonts w:hint="eastAsia" w:ascii="仿宋" w:hAnsi="仿宋" w:eastAsia="仿宋"/>
                <w:color w:val="000000"/>
              </w:rPr>
            </w:pPr>
          </w:p>
        </w:tc>
        <w:tc>
          <w:tcPr>
            <w:tcW w:w="2812" w:type="dxa"/>
            <w:vAlign w:val="center"/>
          </w:tcPr>
          <w:p w14:paraId="63141805">
            <w:pPr>
              <w:jc w:val="left"/>
              <w:rPr>
                <w:rFonts w:hint="eastAsia" w:ascii="仿宋" w:hAnsi="仿宋" w:eastAsia="仿宋"/>
                <w:color w:val="000000"/>
              </w:rPr>
            </w:pPr>
            <w:r>
              <w:rPr>
                <w:rFonts w:hint="eastAsia" w:ascii="仿宋" w:hAnsi="仿宋" w:eastAsia="仿宋"/>
                <w:color w:val="000000"/>
              </w:rPr>
              <w:t>其他实质性响应</w:t>
            </w:r>
          </w:p>
        </w:tc>
        <w:tc>
          <w:tcPr>
            <w:tcW w:w="5055" w:type="dxa"/>
            <w:vAlign w:val="center"/>
          </w:tcPr>
          <w:p w14:paraId="419DBB21">
            <w:pPr>
              <w:jc w:val="left"/>
              <w:rPr>
                <w:rFonts w:hint="eastAsia" w:ascii="仿宋" w:hAnsi="仿宋" w:eastAsia="仿宋"/>
                <w:color w:val="000000"/>
              </w:rPr>
            </w:pPr>
            <w:r>
              <w:rPr>
                <w:rFonts w:hint="eastAsia" w:ascii="仿宋" w:hAnsi="仿宋" w:eastAsia="仿宋"/>
                <w:color w:val="000000"/>
              </w:rPr>
              <w:t>不符合竞争性磋商采购文件要求</w:t>
            </w:r>
          </w:p>
        </w:tc>
      </w:tr>
      <w:bookmarkEnd w:id="6"/>
    </w:tbl>
    <w:p w14:paraId="6BAA6779">
      <w:pPr>
        <w:spacing w:line="276" w:lineRule="auto"/>
        <w:ind w:firstLine="470" w:firstLineChars="196"/>
        <w:rPr>
          <w:rFonts w:hint="eastAsia" w:ascii="仿宋" w:hAnsi="仿宋" w:eastAsia="仿宋"/>
          <w:color w:val="000000"/>
          <w:sz w:val="24"/>
        </w:rPr>
      </w:pPr>
    </w:p>
    <w:p w14:paraId="750099A3">
      <w:pPr>
        <w:spacing w:line="276" w:lineRule="auto"/>
        <w:ind w:firstLine="470" w:firstLineChars="196"/>
        <w:rPr>
          <w:rFonts w:hint="eastAsia" w:ascii="仿宋" w:hAnsi="仿宋" w:eastAsia="仿宋"/>
          <w:color w:val="000000"/>
          <w:sz w:val="24"/>
        </w:rPr>
      </w:pPr>
      <w:r>
        <w:rPr>
          <w:rFonts w:hint="eastAsia" w:ascii="仿宋" w:hAnsi="仿宋" w:eastAsia="仿宋"/>
          <w:color w:val="000000"/>
          <w:sz w:val="24"/>
        </w:rPr>
        <w:t>2、磋商小组对通过以上审查的响应文件进行评估，确定与各供应商磋商的具体内容。</w:t>
      </w:r>
    </w:p>
    <w:p w14:paraId="0B898251">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3、围绕磋商要点，磋商小组所有成员集中与单一供应商分别进行磋商。</w:t>
      </w:r>
    </w:p>
    <w:p w14:paraId="5B5203EE">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4、实质性变动</w:t>
      </w:r>
    </w:p>
    <w:p w14:paraId="2C3BBF92">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磋商过程中，磋商小组可以根据竞争性磋商文件和磋商情况实质性变动采购需求中的技术、服务要求以及合同草案条款，但不得变动竞争性磋商文件中的其他内容。实质性变动的内容，须经采购人代表确认，并以书面形式同时通知所有参加磋商的供应商。该变动是竞争性磋商文件的有效组成部分。</w:t>
      </w:r>
    </w:p>
    <w:p w14:paraId="5E7A1E02">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磋商供应商按照竞争性磋商文件的变动情况和磋商小组的要求，在规定的时间内以书面形式作出响应，并由其法定代表人或授权代表签字或者加盖公章。</w:t>
      </w:r>
    </w:p>
    <w:p w14:paraId="5C0C1F2A">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未按要求作出响应的响应文件，将视为无效响应。</w:t>
      </w:r>
    </w:p>
    <w:p w14:paraId="403004EB">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5、最后报价</w:t>
      </w:r>
    </w:p>
    <w:p w14:paraId="073431D5">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磋商结束后，磋商小组将要求实质性响应竞争性磋商文件的磋商供应商在规定时间内提交最后报价。</w:t>
      </w:r>
    </w:p>
    <w:p w14:paraId="10EDD6E2">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69F31AF">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在规定的时间内，没有提交最后报价的磋商供应商，视为退出磋商。未实质性响应的磋商供应商将不再进行最后报价。</w:t>
      </w:r>
    </w:p>
    <w:p w14:paraId="5378CC21">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已提交响应文件的供应商，在提交最后报价之前，可以根据磋商情况退出磋商。</w:t>
      </w:r>
    </w:p>
    <w:p w14:paraId="292EE537">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经磋商确定最终采购需求和提交最后报价的供应商后，由磋商小组结合本竞争性磋商文件规定的政府采购政策进行的价格扣除及综合评分法对提交最后报价的供应商的响应文件和最后报价进行综合评分。 </w:t>
      </w:r>
    </w:p>
    <w:bookmarkEnd w:id="7"/>
    <w:p w14:paraId="004952F0">
      <w:pPr>
        <w:spacing w:line="276" w:lineRule="auto"/>
        <w:rPr>
          <w:rFonts w:hint="eastAsia" w:ascii="仿宋" w:hAnsi="仿宋" w:eastAsia="仿宋"/>
          <w:b/>
          <w:color w:val="000000"/>
          <w:sz w:val="24"/>
        </w:rPr>
      </w:pPr>
      <w:r>
        <w:rPr>
          <w:rFonts w:hint="eastAsia" w:ascii="仿宋" w:hAnsi="仿宋" w:eastAsia="仿宋"/>
          <w:b/>
          <w:color w:val="000000"/>
          <w:sz w:val="24"/>
        </w:rPr>
        <w:t>二、评审方法和标准</w:t>
      </w:r>
    </w:p>
    <w:p w14:paraId="232C7E13">
      <w:pPr>
        <w:spacing w:line="276" w:lineRule="auto"/>
        <w:rPr>
          <w:rFonts w:hint="eastAsia" w:ascii="仿宋" w:hAnsi="仿宋" w:eastAsia="仿宋"/>
          <w:b/>
          <w:color w:val="000000"/>
          <w:sz w:val="24"/>
        </w:rPr>
      </w:pPr>
      <w:r>
        <w:rPr>
          <w:rFonts w:hint="eastAsia" w:ascii="仿宋" w:hAnsi="仿宋" w:eastAsia="仿宋"/>
          <w:b/>
          <w:color w:val="000000"/>
          <w:sz w:val="24"/>
        </w:rPr>
        <w:t>（一）、评审方法</w:t>
      </w:r>
    </w:p>
    <w:p w14:paraId="1728CA92">
      <w:pPr>
        <w:spacing w:line="276" w:lineRule="auto"/>
        <w:ind w:firstLine="360" w:firstLineChars="150"/>
        <w:rPr>
          <w:rFonts w:hint="eastAsia" w:ascii="仿宋" w:hAnsi="仿宋" w:eastAsia="仿宋"/>
          <w:color w:val="000000"/>
          <w:sz w:val="24"/>
        </w:rPr>
      </w:pPr>
      <w:bookmarkStart w:id="8" w:name="_Hlk39664001"/>
      <w:r>
        <w:rPr>
          <w:rFonts w:hint="eastAsia" w:ascii="仿宋" w:hAnsi="仿宋" w:eastAsia="仿宋"/>
          <w:color w:val="000000"/>
          <w:sz w:val="24"/>
        </w:rPr>
        <w:t>1、本项目采用综合评分法，总分100分。综合评分法是指响应文件满足竞争性磋商文件全部实质性要求且按评审因素的量化指标评审得分由高到底的顺序推荐3名供应商为成交候选供应商。（特别说明若为“市场竞争不充分的科研项目，以及需要扶持的科技成果转化项目”情形的以及“采用竞争性磋商采购方式采购的政府购买服务项目(含政府和社会资本合作项目)，在采购过程中符合要求的供应商(社会资本)只有2家的”可以推荐2家成交候选供应商）</w:t>
      </w:r>
    </w:p>
    <w:p w14:paraId="4BC1022E">
      <w:pPr>
        <w:spacing w:line="276" w:lineRule="auto"/>
        <w:ind w:firstLine="360" w:firstLineChars="150"/>
        <w:rPr>
          <w:rFonts w:hint="eastAsia" w:ascii="仿宋" w:hAnsi="仿宋" w:eastAsia="仿宋"/>
          <w:color w:val="000000"/>
          <w:sz w:val="24"/>
        </w:rPr>
      </w:pPr>
      <w:r>
        <w:rPr>
          <w:rFonts w:hint="eastAsia" w:ascii="仿宋" w:hAnsi="仿宋" w:eastAsia="仿宋"/>
          <w:color w:val="000000"/>
          <w:sz w:val="24"/>
        </w:rPr>
        <w:t>2、磋商小组按照竞争性磋商文件的要求和条件，根据各磋商供应商的技术、商务、价格、对竞争性磋商文件的响应程度等进行综合评价、评分，将评审总得分按照从高到低的顺序排列，并依此顺序推荐2-3名成交候选供应商。</w:t>
      </w:r>
    </w:p>
    <w:bookmarkEnd w:id="8"/>
    <w:p w14:paraId="27703A9E">
      <w:pPr>
        <w:spacing w:line="276" w:lineRule="auto"/>
        <w:ind w:firstLine="360" w:firstLineChars="150"/>
        <w:rPr>
          <w:rFonts w:hint="eastAsia" w:ascii="仿宋" w:hAnsi="仿宋" w:eastAsia="仿宋"/>
          <w:color w:val="000000"/>
          <w:sz w:val="24"/>
        </w:rPr>
      </w:pPr>
      <w:r>
        <w:rPr>
          <w:rFonts w:hint="eastAsia" w:ascii="仿宋" w:hAnsi="仿宋" w:eastAsia="仿宋"/>
          <w:color w:val="000000"/>
          <w:sz w:val="24"/>
        </w:rPr>
        <w:t>3、例外情况</w:t>
      </w:r>
    </w:p>
    <w:p w14:paraId="6A6E32BB">
      <w:pPr>
        <w:spacing w:line="276" w:lineRule="auto"/>
        <w:ind w:firstLine="360" w:firstLineChars="150"/>
        <w:rPr>
          <w:rFonts w:hint="eastAsia" w:ascii="仿宋" w:hAnsi="仿宋" w:eastAsia="仿宋"/>
          <w:color w:val="000000"/>
          <w:sz w:val="24"/>
        </w:rPr>
      </w:pPr>
      <w:r>
        <w:rPr>
          <w:rFonts w:hint="eastAsia" w:ascii="仿宋" w:hAnsi="仿宋" w:eastAsia="仿宋"/>
          <w:color w:val="000000"/>
          <w:sz w:val="24"/>
        </w:rPr>
        <w:t>评审总得分相同的，按最后报价由低到高的顺序排序；评审总得分及最后报价均相同的，按技术部分得分由高到低排序；依然相同的，由磋商小组现场抽签确定顺序。</w:t>
      </w:r>
    </w:p>
    <w:p w14:paraId="2B96F5D4">
      <w:pPr>
        <w:spacing w:line="540" w:lineRule="exact"/>
        <w:rPr>
          <w:rFonts w:hint="eastAsia" w:ascii="仿宋" w:hAnsi="仿宋" w:eastAsia="仿宋"/>
          <w:b/>
          <w:color w:val="000000"/>
          <w:sz w:val="24"/>
        </w:rPr>
      </w:pPr>
      <w:r>
        <w:rPr>
          <w:rFonts w:hint="eastAsia" w:ascii="仿宋" w:hAnsi="仿宋" w:eastAsia="仿宋"/>
          <w:b/>
          <w:color w:val="000000"/>
          <w:sz w:val="24"/>
        </w:rPr>
        <w:t>（二）评审标准（数值计算结果均保留两位小数，第三位四舍五入）</w:t>
      </w:r>
    </w:p>
    <w:p w14:paraId="579A6857">
      <w:pPr>
        <w:spacing w:line="540" w:lineRule="exact"/>
        <w:ind w:firstLine="482" w:firstLineChars="200"/>
        <w:rPr>
          <w:rFonts w:hint="eastAsia" w:ascii="仿宋" w:hAnsi="仿宋" w:eastAsia="仿宋"/>
          <w:b/>
          <w:color w:val="000000"/>
          <w:sz w:val="24"/>
        </w:rPr>
      </w:pPr>
      <w:r>
        <w:rPr>
          <w:rFonts w:hint="eastAsia" w:ascii="仿宋" w:hAnsi="仿宋" w:eastAsia="仿宋"/>
          <w:b/>
          <w:color w:val="000000"/>
          <w:sz w:val="24"/>
        </w:rPr>
        <w:t>1、评审分值分布(满分100分)</w:t>
      </w:r>
    </w:p>
    <w:p w14:paraId="27194896">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1.1商务部分（</w:t>
      </w:r>
      <w:r>
        <w:rPr>
          <w:rFonts w:hint="eastAsia" w:ascii="仿宋" w:hAnsi="仿宋" w:eastAsia="仿宋"/>
          <w:color w:val="000000"/>
          <w:sz w:val="24"/>
          <w:lang w:val="en-US" w:eastAsia="zh-CN"/>
        </w:rPr>
        <w:t>30</w:t>
      </w:r>
      <w:r>
        <w:rPr>
          <w:rFonts w:hint="eastAsia" w:ascii="仿宋" w:hAnsi="仿宋" w:eastAsia="仿宋"/>
          <w:color w:val="000000"/>
          <w:sz w:val="24"/>
        </w:rPr>
        <w:t>分）</w:t>
      </w:r>
    </w:p>
    <w:p w14:paraId="48EAEA01">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1.2技术部分（</w:t>
      </w:r>
      <w:r>
        <w:rPr>
          <w:rFonts w:hint="eastAsia" w:ascii="仿宋" w:hAnsi="仿宋" w:eastAsia="仿宋"/>
          <w:color w:val="000000"/>
          <w:sz w:val="24"/>
          <w:lang w:val="en-US" w:eastAsia="zh-CN"/>
        </w:rPr>
        <w:t>70</w:t>
      </w:r>
      <w:r>
        <w:rPr>
          <w:rFonts w:hint="eastAsia" w:ascii="仿宋" w:hAnsi="仿宋" w:eastAsia="仿宋"/>
          <w:color w:val="000000"/>
          <w:sz w:val="24"/>
        </w:rPr>
        <w:t>分）</w:t>
      </w:r>
    </w:p>
    <w:p w14:paraId="060F7603">
      <w:pPr>
        <w:spacing w:line="360" w:lineRule="auto"/>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2、评审标准</w:t>
      </w:r>
    </w:p>
    <w:p w14:paraId="4994C1A5">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2.1商务标评审内容及标准（</w:t>
      </w:r>
      <w:r>
        <w:rPr>
          <w:rFonts w:hint="eastAsia" w:ascii="仿宋" w:hAnsi="仿宋" w:eastAsia="仿宋"/>
          <w:color w:val="000000"/>
          <w:sz w:val="24"/>
          <w:lang w:val="en-US" w:eastAsia="zh-CN"/>
        </w:rPr>
        <w:t>30</w:t>
      </w:r>
      <w:r>
        <w:rPr>
          <w:rFonts w:hint="eastAsia" w:ascii="仿宋" w:hAnsi="仿宋" w:eastAsia="仿宋"/>
          <w:color w:val="000000"/>
          <w:sz w:val="24"/>
        </w:rPr>
        <w:t>分）</w:t>
      </w:r>
    </w:p>
    <w:tbl>
      <w:tblPr>
        <w:tblStyle w:val="2"/>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332"/>
        <w:gridCol w:w="855"/>
        <w:gridCol w:w="7354"/>
      </w:tblGrid>
      <w:tr w14:paraId="15546F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332" w:type="dxa"/>
            <w:vAlign w:val="center"/>
          </w:tcPr>
          <w:p w14:paraId="4784436F">
            <w:pPr>
              <w:jc w:val="center"/>
              <w:rPr>
                <w:rFonts w:hint="eastAsia" w:ascii="仿宋" w:hAnsi="仿宋" w:eastAsia="仿宋"/>
              </w:rPr>
            </w:pPr>
            <w:r>
              <w:rPr>
                <w:rFonts w:hint="eastAsia" w:ascii="仿宋" w:hAnsi="仿宋" w:eastAsia="仿宋"/>
              </w:rPr>
              <w:t>评审项目</w:t>
            </w:r>
          </w:p>
        </w:tc>
        <w:tc>
          <w:tcPr>
            <w:tcW w:w="855" w:type="dxa"/>
            <w:vAlign w:val="center"/>
          </w:tcPr>
          <w:p w14:paraId="2A33EB6E">
            <w:pPr>
              <w:jc w:val="center"/>
              <w:rPr>
                <w:rFonts w:hint="eastAsia" w:ascii="仿宋" w:hAnsi="仿宋" w:eastAsia="仿宋"/>
              </w:rPr>
            </w:pPr>
            <w:r>
              <w:rPr>
                <w:rFonts w:hint="eastAsia" w:ascii="仿宋" w:hAnsi="仿宋" w:eastAsia="仿宋"/>
              </w:rPr>
              <w:t>分值</w:t>
            </w:r>
          </w:p>
        </w:tc>
        <w:tc>
          <w:tcPr>
            <w:tcW w:w="7354" w:type="dxa"/>
            <w:vAlign w:val="center"/>
          </w:tcPr>
          <w:p w14:paraId="1838A83D">
            <w:pPr>
              <w:jc w:val="center"/>
              <w:rPr>
                <w:rFonts w:hint="eastAsia" w:ascii="仿宋" w:hAnsi="仿宋" w:eastAsia="仿宋"/>
              </w:rPr>
            </w:pPr>
            <w:r>
              <w:rPr>
                <w:rFonts w:hint="eastAsia" w:ascii="仿宋" w:hAnsi="仿宋" w:eastAsia="仿宋"/>
              </w:rPr>
              <w:t>依据</w:t>
            </w:r>
          </w:p>
        </w:tc>
      </w:tr>
      <w:tr w14:paraId="4B8C86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32" w:type="dxa"/>
            <w:vAlign w:val="center"/>
          </w:tcPr>
          <w:p w14:paraId="31670FBE">
            <w:pPr>
              <w:jc w:val="left"/>
              <w:rPr>
                <w:rFonts w:hint="eastAsia" w:ascii="仿宋" w:hAnsi="仿宋" w:eastAsia="仿宋"/>
              </w:rPr>
            </w:pPr>
            <w:r>
              <w:rPr>
                <w:rFonts w:hint="eastAsia" w:ascii="仿宋" w:hAnsi="仿宋" w:eastAsia="仿宋"/>
              </w:rPr>
              <w:t>投标报价</w:t>
            </w:r>
          </w:p>
        </w:tc>
        <w:tc>
          <w:tcPr>
            <w:tcW w:w="855" w:type="dxa"/>
            <w:vAlign w:val="center"/>
          </w:tcPr>
          <w:p w14:paraId="5A2C4BAB">
            <w:pPr>
              <w:ind w:firstLine="210" w:firstLineChars="100"/>
              <w:jc w:val="left"/>
              <w:rPr>
                <w:rFonts w:hint="eastAsia" w:ascii="仿宋" w:hAnsi="仿宋" w:eastAsia="仿宋"/>
                <w:lang w:val="en-US" w:eastAsia="zh-CN"/>
              </w:rPr>
            </w:pPr>
            <w:r>
              <w:rPr>
                <w:rFonts w:hint="eastAsia" w:ascii="仿宋" w:hAnsi="仿宋" w:eastAsia="仿宋"/>
                <w:lang w:val="en-US" w:eastAsia="zh-CN"/>
              </w:rPr>
              <w:t>24</w:t>
            </w:r>
            <w:r>
              <w:rPr>
                <w:rFonts w:hint="eastAsia" w:ascii="仿宋" w:hAnsi="仿宋" w:eastAsia="仿宋"/>
              </w:rPr>
              <w:t>分</w:t>
            </w:r>
          </w:p>
        </w:tc>
        <w:tc>
          <w:tcPr>
            <w:tcW w:w="7354" w:type="dxa"/>
            <w:vAlign w:val="center"/>
          </w:tcPr>
          <w:p w14:paraId="0C27CB22">
            <w:pPr>
              <w:jc w:val="left"/>
              <w:rPr>
                <w:rFonts w:hint="eastAsia" w:ascii="仿宋" w:hAnsi="仿宋" w:eastAsia="仿宋"/>
              </w:rPr>
            </w:pPr>
            <w:r>
              <w:rPr>
                <w:rFonts w:hint="eastAsia" w:ascii="仿宋" w:hAnsi="仿宋" w:eastAsia="仿宋"/>
              </w:rPr>
              <w:t>本项评审步骤：</w:t>
            </w:r>
          </w:p>
          <w:p w14:paraId="7251AE26">
            <w:pPr>
              <w:jc w:val="left"/>
              <w:rPr>
                <w:rFonts w:hint="eastAsia" w:ascii="仿宋" w:hAnsi="仿宋" w:eastAsia="仿宋"/>
              </w:rPr>
            </w:pPr>
            <w:r>
              <w:rPr>
                <w:rFonts w:hint="eastAsia" w:ascii="仿宋" w:hAnsi="仿宋" w:eastAsia="仿宋"/>
              </w:rPr>
              <w:t>评标价的确认：评标委员会对所有实质性响应招标文件要求的投标报价进行核查、调整，包括根据本招标文件规定的政府采购政策进行的价格扣除。</w:t>
            </w:r>
          </w:p>
          <w:p w14:paraId="43762F83">
            <w:pPr>
              <w:jc w:val="left"/>
              <w:rPr>
                <w:rFonts w:hint="eastAsia" w:ascii="仿宋" w:hAnsi="仿宋" w:eastAsia="仿宋"/>
              </w:rPr>
            </w:pPr>
            <w:r>
              <w:rPr>
                <w:rFonts w:hint="eastAsia" w:ascii="仿宋" w:hAnsi="仿宋" w:eastAsia="仿宋"/>
              </w:rPr>
              <w:t>价格调整：如供应商对招标文件的内容，特别是对招标范围的理解发生误差，有子项漏报的（即该供应商投标报价为漏项报价），经评标委员会评审，按漏项子项和相关标准（有规定标准的按规定标准，无规定标准的按相应的本次招标中最高的单价报价）计算出该供应商的投标调整价；</w:t>
            </w:r>
          </w:p>
          <w:p w14:paraId="297093AC">
            <w:pPr>
              <w:jc w:val="left"/>
              <w:rPr>
                <w:rFonts w:hint="eastAsia" w:ascii="仿宋" w:hAnsi="仿宋" w:eastAsia="仿宋"/>
              </w:rPr>
            </w:pPr>
            <w:r>
              <w:rPr>
                <w:rFonts w:hint="eastAsia" w:ascii="仿宋" w:hAnsi="仿宋" w:eastAsia="仿宋"/>
              </w:rPr>
              <w:t>价格扣除：供应商的投标报价（如有漏项报价，则为投标调整价）按招标文件规定的价格扣除办法计算其评标价。</w:t>
            </w:r>
          </w:p>
          <w:p w14:paraId="1FFEE441">
            <w:pPr>
              <w:jc w:val="left"/>
              <w:rPr>
                <w:rFonts w:hint="eastAsia" w:ascii="仿宋" w:hAnsi="仿宋" w:eastAsia="仿宋"/>
              </w:rPr>
            </w:pPr>
            <w:r>
              <w:rPr>
                <w:rFonts w:hint="eastAsia" w:ascii="仿宋" w:hAnsi="仿宋" w:eastAsia="仿宋"/>
              </w:rPr>
              <w:t>评标基准价：</w:t>
            </w:r>
            <w:r>
              <w:rPr>
                <w:rFonts w:hint="eastAsia" w:ascii="Times New Roman" w:hAnsi="Times New Roman" w:eastAsia="仿宋"/>
                <w:spacing w:val="0"/>
                <w:kern w:val="0"/>
              </w:rPr>
              <w:t>所有资格审查通过投标人的投标报价的平均值</w:t>
            </w:r>
            <w:r>
              <w:rPr>
                <w:rFonts w:hint="eastAsia" w:ascii="仿宋" w:hAnsi="仿宋" w:eastAsia="仿宋"/>
              </w:rPr>
              <w:t>。</w:t>
            </w:r>
          </w:p>
          <w:p w14:paraId="758755C0">
            <w:pPr>
              <w:jc w:val="left"/>
              <w:rPr>
                <w:rFonts w:hint="eastAsia" w:ascii="仿宋" w:hAnsi="仿宋" w:eastAsia="仿宋"/>
              </w:rPr>
            </w:pPr>
            <w:r>
              <w:rPr>
                <w:rFonts w:hint="eastAsia" w:ascii="仿宋" w:hAnsi="仿宋" w:eastAsia="仿宋"/>
              </w:rPr>
              <w:t>投标报价得分计算：评标价为评标基准价的得满分</w:t>
            </w:r>
            <w:r>
              <w:rPr>
                <w:rFonts w:hint="eastAsia" w:ascii="仿宋" w:hAnsi="仿宋" w:eastAsia="仿宋"/>
                <w:lang w:val="en-US" w:eastAsia="zh-CN"/>
              </w:rPr>
              <w:t>24</w:t>
            </w:r>
            <w:r>
              <w:rPr>
                <w:rFonts w:hint="eastAsia" w:ascii="仿宋" w:hAnsi="仿宋" w:eastAsia="仿宋"/>
              </w:rPr>
              <w:t>分。其他供应商的投标报价得分统一按下列公式计算：投标报价得分=（评标基准价/评标价）*</w:t>
            </w:r>
            <w:r>
              <w:rPr>
                <w:rFonts w:hint="eastAsia" w:ascii="仿宋" w:hAnsi="仿宋" w:eastAsia="仿宋"/>
                <w:lang w:val="en-US" w:eastAsia="zh-CN"/>
              </w:rPr>
              <w:t>24</w:t>
            </w:r>
            <w:r>
              <w:rPr>
                <w:rFonts w:hint="eastAsia" w:ascii="仿宋" w:hAnsi="仿宋" w:eastAsia="仿宋"/>
              </w:rPr>
              <w:t>。</w:t>
            </w:r>
          </w:p>
          <w:p w14:paraId="4130849F">
            <w:pPr>
              <w:jc w:val="left"/>
              <w:rPr>
                <w:rFonts w:hint="eastAsia" w:ascii="仿宋" w:hAnsi="仿宋" w:eastAsia="仿宋"/>
              </w:rPr>
            </w:pPr>
            <w:r>
              <w:rPr>
                <w:rFonts w:hint="eastAsia" w:ascii="仿宋" w:hAnsi="仿宋" w:eastAsia="仿宋"/>
              </w:rPr>
              <w:t>漏项报价的供应商，在按上述公式计算出其投标报价得分基础上，其漏项报价每低于投标调整价 1%再扣 1 分，得出该供应商的投标报价最终得分。若其最终中标，则中标价格为其投标报价，供应商应无异议，否则视该投标为无效投标。</w:t>
            </w:r>
          </w:p>
          <w:p w14:paraId="476E8EF5">
            <w:pPr>
              <w:jc w:val="left"/>
              <w:rPr>
                <w:rFonts w:hint="eastAsia" w:ascii="仿宋" w:hAnsi="仿宋" w:eastAsia="仿宋"/>
              </w:rPr>
            </w:pPr>
            <w:r>
              <w:rPr>
                <w:rFonts w:hint="eastAsia" w:ascii="仿宋" w:hAnsi="仿宋" w:eastAsia="仿宋"/>
              </w:rPr>
              <w:t>注：评标价（含一个或同时多个）低于其他有效供应商的评标价平均值 50%时，评标委员会应当要求该供应商作出书面说明并提供相关证明材料。该供应商不能合理说明或不能提供相关证明材料的，视作该投标为无效投标。</w:t>
            </w:r>
          </w:p>
        </w:tc>
      </w:tr>
      <w:tr w14:paraId="6293C8A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49" w:hRule="atLeast"/>
        </w:trPr>
        <w:tc>
          <w:tcPr>
            <w:tcW w:w="1332" w:type="dxa"/>
            <w:vAlign w:val="center"/>
          </w:tcPr>
          <w:p w14:paraId="68CC45F6">
            <w:pPr>
              <w:keepNext w:val="0"/>
              <w:keepLines w:val="0"/>
              <w:widowControl/>
              <w:suppressLineNumbers w:val="0"/>
              <w:jc w:val="left"/>
              <w:rPr>
                <w:rFonts w:ascii="仿宋" w:hAnsi="仿宋" w:eastAsia="仿宋"/>
                <w:color w:val="000000"/>
                <w:kern w:val="0"/>
                <w:sz w:val="20"/>
                <w:szCs w:val="20"/>
                <w:lang w:val="en-US" w:eastAsia="zh-CN" w:bidi="ar"/>
              </w:rPr>
            </w:pPr>
            <w:r>
              <w:rPr>
                <w:rFonts w:ascii="仿宋" w:hAnsi="仿宋" w:eastAsia="仿宋"/>
                <w:color w:val="000000"/>
                <w:kern w:val="0"/>
                <w:sz w:val="20"/>
                <w:szCs w:val="20"/>
                <w:lang w:val="en-US" w:eastAsia="zh-CN" w:bidi="ar"/>
              </w:rPr>
              <w:t>供应商业绩</w:t>
            </w:r>
          </w:p>
        </w:tc>
        <w:tc>
          <w:tcPr>
            <w:tcW w:w="855" w:type="dxa"/>
            <w:vAlign w:val="center"/>
          </w:tcPr>
          <w:p w14:paraId="696DDB11">
            <w:pPr>
              <w:jc w:val="center"/>
              <w:rPr>
                <w:rFonts w:hint="eastAsia" w:ascii="仿宋" w:hAnsi="仿宋" w:eastAsia="仿宋"/>
                <w:lang w:val="en-US" w:eastAsia="zh-CN"/>
              </w:rPr>
            </w:pPr>
            <w:r>
              <w:rPr>
                <w:rFonts w:hint="eastAsia" w:ascii="仿宋" w:hAnsi="仿宋" w:eastAsia="仿宋"/>
                <w:lang w:val="en-US" w:eastAsia="zh-CN"/>
              </w:rPr>
              <w:t>6</w:t>
            </w:r>
            <w:r>
              <w:rPr>
                <w:rFonts w:hint="eastAsia" w:ascii="仿宋" w:hAnsi="仿宋" w:eastAsia="仿宋"/>
              </w:rPr>
              <w:t>分</w:t>
            </w:r>
          </w:p>
        </w:tc>
        <w:tc>
          <w:tcPr>
            <w:tcW w:w="7354" w:type="dxa"/>
            <w:vAlign w:val="center"/>
          </w:tcPr>
          <w:p w14:paraId="420F511D">
            <w:pPr>
              <w:keepNext w:val="0"/>
              <w:keepLines w:val="0"/>
              <w:widowControl/>
              <w:suppressLineNumbers w:val="0"/>
              <w:jc w:val="left"/>
              <w:rPr>
                <w:rFonts w:ascii="仿宋" w:hAnsi="仿宋" w:eastAsia="仿宋"/>
                <w:color w:val="000000"/>
                <w:kern w:val="0"/>
                <w:sz w:val="20"/>
                <w:szCs w:val="20"/>
                <w:lang w:val="en-US" w:eastAsia="zh-CN" w:bidi="ar"/>
              </w:rPr>
            </w:pPr>
            <w:r>
              <w:rPr>
                <w:rFonts w:ascii="仿宋" w:hAnsi="仿宋" w:eastAsia="仿宋"/>
                <w:color w:val="000000"/>
                <w:kern w:val="0"/>
                <w:sz w:val="20"/>
                <w:szCs w:val="20"/>
                <w:lang w:val="en-US" w:eastAsia="zh-CN" w:bidi="ar"/>
              </w:rPr>
              <w:t>供应商具备</w:t>
            </w:r>
            <w:r>
              <w:rPr>
                <w:rFonts w:hint="eastAsia" w:ascii="仿宋" w:hAnsi="仿宋" w:eastAsia="仿宋"/>
                <w:color w:val="000000"/>
                <w:kern w:val="0"/>
                <w:sz w:val="20"/>
                <w:szCs w:val="20"/>
                <w:lang w:val="en-US" w:eastAsia="zh-CN" w:bidi="ar"/>
              </w:rPr>
              <w:t>同</w:t>
            </w:r>
            <w:r>
              <w:rPr>
                <w:rFonts w:ascii="仿宋" w:hAnsi="仿宋" w:eastAsia="仿宋"/>
                <w:color w:val="000000"/>
                <w:kern w:val="0"/>
                <w:sz w:val="20"/>
                <w:szCs w:val="20"/>
                <w:lang w:val="en-US" w:eastAsia="zh-CN" w:bidi="ar"/>
              </w:rPr>
              <w:t>类业务（</w:t>
            </w:r>
            <w:r>
              <w:rPr>
                <w:rFonts w:hint="eastAsia" w:ascii="仿宋" w:hAnsi="仿宋" w:eastAsia="仿宋"/>
                <w:color w:val="000000"/>
                <w:kern w:val="0"/>
                <w:sz w:val="20"/>
                <w:szCs w:val="20"/>
                <w:lang w:val="en-US" w:eastAsia="zh-CN" w:bidi="ar"/>
              </w:rPr>
              <w:t xml:space="preserve">职工类文艺演出的业绩）服务业绩的，提供业绩合同，有一项加 </w:t>
            </w:r>
            <w:r>
              <w:rPr>
                <w:rFonts w:ascii="Times New Roman" w:hAnsi="Times New Roman" w:eastAsia="宋体"/>
                <w:color w:val="000000"/>
                <w:kern w:val="0"/>
                <w:sz w:val="20"/>
                <w:szCs w:val="20"/>
                <w:lang w:val="en-US" w:eastAsia="zh-CN" w:bidi="ar"/>
              </w:rPr>
              <w:t xml:space="preserve">3 </w:t>
            </w:r>
            <w:r>
              <w:rPr>
                <w:rFonts w:hint="eastAsia" w:ascii="仿宋" w:hAnsi="仿宋" w:eastAsia="仿宋"/>
                <w:color w:val="000000"/>
                <w:kern w:val="0"/>
                <w:sz w:val="20"/>
                <w:szCs w:val="20"/>
                <w:lang w:val="en-US" w:eastAsia="zh-CN" w:bidi="ar"/>
              </w:rPr>
              <w:t>分，本项加满为止。（投标文件中须提供业绩合同，扫描件应能辨识买卖双方公章、标的信息；如业绩合同不能体现以上全部内容，可提供业绩合同甲方盖公章的证明扫描件。否则，不得分。投标供应商与其关联公司（单位负责人为同一人或者存在直接控股、管理关系的不同供应商）之间签订的合同，均不予认可。）</w:t>
            </w:r>
          </w:p>
        </w:tc>
      </w:tr>
    </w:tbl>
    <w:p w14:paraId="7C9386EB">
      <w:pPr>
        <w:spacing w:line="360" w:lineRule="auto"/>
        <w:rPr>
          <w:rFonts w:hint="eastAsia" w:ascii="仿宋" w:hAnsi="仿宋" w:eastAsia="仿宋"/>
          <w:color w:val="000000"/>
          <w:sz w:val="24"/>
        </w:rPr>
      </w:pPr>
    </w:p>
    <w:p w14:paraId="6C2B6791">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2.2技术标评审内容及标准（</w:t>
      </w:r>
      <w:r>
        <w:rPr>
          <w:rFonts w:hint="eastAsia" w:ascii="仿宋" w:hAnsi="仿宋" w:eastAsia="仿宋"/>
          <w:color w:val="000000"/>
          <w:sz w:val="24"/>
          <w:lang w:val="en-US" w:eastAsia="zh-CN"/>
        </w:rPr>
        <w:t>70</w:t>
      </w:r>
      <w:r>
        <w:rPr>
          <w:rFonts w:hint="eastAsia" w:ascii="仿宋" w:hAnsi="仿宋" w:eastAsia="仿宋"/>
          <w:color w:val="000000"/>
          <w:sz w:val="24"/>
        </w:rPr>
        <w:t>分）</w:t>
      </w:r>
    </w:p>
    <w:tbl>
      <w:tblPr>
        <w:tblStyle w:val="2"/>
        <w:tblW w:w="972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30"/>
        <w:gridCol w:w="1800"/>
        <w:gridCol w:w="675"/>
        <w:gridCol w:w="6724"/>
      </w:tblGrid>
      <w:tr w14:paraId="204417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0" w:type="dxa"/>
            <w:vAlign w:val="center"/>
          </w:tcPr>
          <w:p w14:paraId="04539ED5">
            <w:pPr>
              <w:spacing w:line="360" w:lineRule="auto"/>
              <w:rPr>
                <w:rFonts w:hint="eastAsia" w:ascii="仿宋" w:hAnsi="仿宋" w:eastAsia="仿宋"/>
                <w:sz w:val="24"/>
              </w:rPr>
            </w:pPr>
            <w:r>
              <w:rPr>
                <w:rFonts w:hint="eastAsia" w:ascii="仿宋" w:hAnsi="仿宋" w:eastAsia="仿宋"/>
                <w:sz w:val="24"/>
              </w:rPr>
              <w:t>序号</w:t>
            </w:r>
          </w:p>
        </w:tc>
        <w:tc>
          <w:tcPr>
            <w:tcW w:w="1800" w:type="dxa"/>
            <w:vAlign w:val="center"/>
          </w:tcPr>
          <w:p w14:paraId="4FCAA5AE">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评审项目</w:t>
            </w:r>
          </w:p>
        </w:tc>
        <w:tc>
          <w:tcPr>
            <w:tcW w:w="675" w:type="dxa"/>
            <w:vAlign w:val="center"/>
          </w:tcPr>
          <w:p w14:paraId="5D95ECF4">
            <w:pPr>
              <w:spacing w:line="360" w:lineRule="auto"/>
              <w:rPr>
                <w:rFonts w:hint="eastAsia" w:ascii="仿宋" w:hAnsi="仿宋" w:eastAsia="仿宋"/>
                <w:color w:val="auto"/>
                <w:sz w:val="24"/>
              </w:rPr>
            </w:pPr>
            <w:r>
              <w:rPr>
                <w:rFonts w:hint="eastAsia" w:ascii="仿宋" w:hAnsi="仿宋" w:eastAsia="仿宋"/>
                <w:color w:val="auto"/>
                <w:sz w:val="24"/>
              </w:rPr>
              <w:t>分值</w:t>
            </w:r>
          </w:p>
        </w:tc>
        <w:tc>
          <w:tcPr>
            <w:tcW w:w="6724" w:type="dxa"/>
            <w:vAlign w:val="center"/>
          </w:tcPr>
          <w:p w14:paraId="73D7F861">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依据</w:t>
            </w:r>
          </w:p>
        </w:tc>
      </w:tr>
      <w:tr w14:paraId="27658DD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0" w:type="dxa"/>
            <w:vAlign w:val="center"/>
          </w:tcPr>
          <w:p w14:paraId="23A7D7A7">
            <w:pPr>
              <w:spacing w:line="360" w:lineRule="auto"/>
              <w:ind w:firstLine="210" w:firstLineChars="100"/>
              <w:rPr>
                <w:rFonts w:hint="eastAsia" w:ascii="仿宋" w:hAnsi="仿宋" w:eastAsia="仿宋"/>
              </w:rPr>
            </w:pPr>
            <w:r>
              <w:rPr>
                <w:rFonts w:hint="eastAsia" w:ascii="仿宋" w:hAnsi="仿宋" w:eastAsia="仿宋"/>
              </w:rPr>
              <w:t>1</w:t>
            </w:r>
          </w:p>
        </w:tc>
        <w:tc>
          <w:tcPr>
            <w:tcW w:w="1800" w:type="dxa"/>
            <w:vAlign w:val="center"/>
          </w:tcPr>
          <w:p w14:paraId="1FE86FD4">
            <w:pPr>
              <w:keepNext w:val="0"/>
              <w:keepLines w:val="0"/>
              <w:widowControl/>
              <w:suppressLineNumbers w:val="0"/>
              <w:jc w:val="left"/>
              <w:rPr>
                <w:rFonts w:hint="eastAsia" w:ascii="仿宋" w:hAnsi="仿宋" w:eastAsia="仿宋"/>
                <w:color w:val="auto"/>
                <w:lang w:val="en-US" w:eastAsia="zh-CN"/>
              </w:rPr>
            </w:pPr>
            <w:r>
              <w:rPr>
                <w:rFonts w:hint="eastAsia" w:ascii="仿宋" w:hAnsi="仿宋" w:eastAsia="仿宋"/>
                <w:color w:val="auto"/>
                <w:lang w:val="en-US" w:eastAsia="zh-CN"/>
              </w:rPr>
              <w:t>服务方案</w:t>
            </w:r>
          </w:p>
        </w:tc>
        <w:tc>
          <w:tcPr>
            <w:tcW w:w="675" w:type="dxa"/>
            <w:vAlign w:val="center"/>
          </w:tcPr>
          <w:p w14:paraId="1ED3C08A">
            <w:pPr>
              <w:jc w:val="left"/>
              <w:rPr>
                <w:rFonts w:hint="eastAsia" w:ascii="仿宋" w:hAnsi="仿宋" w:eastAsia="仿宋"/>
                <w:color w:val="auto"/>
                <w:lang w:val="en-US" w:eastAsia="zh-CN"/>
              </w:rPr>
            </w:pPr>
            <w:r>
              <w:rPr>
                <w:rFonts w:hint="eastAsia" w:ascii="仿宋" w:hAnsi="仿宋" w:eastAsia="仿宋"/>
                <w:color w:val="auto"/>
                <w:lang w:val="en-US" w:eastAsia="zh-CN"/>
              </w:rPr>
              <w:t>10</w:t>
            </w:r>
            <w:r>
              <w:rPr>
                <w:rFonts w:hint="eastAsia" w:ascii="仿宋" w:hAnsi="仿宋" w:eastAsia="仿宋"/>
                <w:color w:val="auto"/>
              </w:rPr>
              <w:t>分</w:t>
            </w:r>
          </w:p>
        </w:tc>
        <w:tc>
          <w:tcPr>
            <w:tcW w:w="6724" w:type="dxa"/>
            <w:vAlign w:val="center"/>
          </w:tcPr>
          <w:p w14:paraId="7BECBBF0">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根据投标人针对本项目采购需求提供的服务方案是否围绕展示芜湖城市精神、芜湖职工风采、讴歌祖国伟大成就； </w:t>
            </w:r>
          </w:p>
          <w:p w14:paraId="6EF53870">
            <w:pPr>
              <w:keepNext w:val="0"/>
              <w:keepLines w:val="0"/>
              <w:widowControl/>
              <w:numPr>
                <w:ilvl w:val="0"/>
                <w:numId w:val="2"/>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对项目目标和需求的理解和方案制作思路理解透彻、深入细致、观点明确、理论清晰的，得 5 分；</w:t>
            </w:r>
          </w:p>
          <w:p w14:paraId="4790FF45">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理解较为透彻，观点较为明确、理论较为清晰，得 3 分；</w:t>
            </w:r>
          </w:p>
          <w:p w14:paraId="1DD71562">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理解一般，基本符合项目要求的，得 1 分；</w:t>
            </w:r>
          </w:p>
          <w:p w14:paraId="6202CA12">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未提供相应内容的不得分。</w:t>
            </w:r>
          </w:p>
          <w:p w14:paraId="30366482">
            <w:pPr>
              <w:keepNext w:val="0"/>
              <w:keepLines w:val="0"/>
              <w:widowControl/>
              <w:numPr>
                <w:ilvl w:val="0"/>
                <w:numId w:val="2"/>
              </w:numPr>
              <w:suppressLineNumbers w:val="0"/>
              <w:ind w:left="0" w:leftChars="0" w:firstLine="0" w:firstLineChars="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方案的完整度、系统性、可操作性方案十分完整，内容全面、合理、清晰，具有很强的系统性和可操作性的，得 5 分；</w:t>
            </w:r>
          </w:p>
          <w:p w14:paraId="3FE449C9">
            <w:pPr>
              <w:keepNext w:val="0"/>
              <w:keepLines w:val="0"/>
              <w:widowControl/>
              <w:numPr>
                <w:ilvl w:val="0"/>
                <w:numId w:val="0"/>
              </w:numPr>
              <w:suppressLineNumbers w:val="0"/>
              <w:ind w:leftChars="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方案完整，内容较为全面、合理、清晰，具有较强的系统性和可操作性的，得 3 分；</w:t>
            </w:r>
          </w:p>
          <w:p w14:paraId="30787A68">
            <w:pPr>
              <w:keepNext w:val="0"/>
              <w:keepLines w:val="0"/>
              <w:widowControl/>
              <w:numPr>
                <w:ilvl w:val="0"/>
                <w:numId w:val="0"/>
              </w:numPr>
              <w:suppressLineNumbers w:val="0"/>
              <w:ind w:leftChars="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方案有一定内容，基本满足本项目需求的，得 1 分；</w:t>
            </w:r>
          </w:p>
          <w:p w14:paraId="79F5A53E">
            <w:pPr>
              <w:keepNext w:val="0"/>
              <w:keepLines w:val="0"/>
              <w:widowControl/>
              <w:numPr>
                <w:ilvl w:val="0"/>
                <w:numId w:val="0"/>
              </w:numPr>
              <w:suppressLineNumbers w:val="0"/>
              <w:ind w:leftChars="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未提供相应内容的不得分</w:t>
            </w:r>
          </w:p>
        </w:tc>
      </w:tr>
      <w:tr w14:paraId="2D1A88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32" w:hRule="atLeast"/>
        </w:trPr>
        <w:tc>
          <w:tcPr>
            <w:tcW w:w="530" w:type="dxa"/>
            <w:vAlign w:val="center"/>
          </w:tcPr>
          <w:p w14:paraId="7C1011CA">
            <w:pPr>
              <w:spacing w:line="360" w:lineRule="auto"/>
              <w:ind w:firstLine="210" w:firstLineChars="100"/>
              <w:rPr>
                <w:rFonts w:hint="eastAsia" w:ascii="仿宋" w:hAnsi="仿宋" w:eastAsia="仿宋"/>
              </w:rPr>
            </w:pPr>
            <w:r>
              <w:rPr>
                <w:rFonts w:hint="eastAsia" w:ascii="仿宋" w:hAnsi="仿宋" w:eastAsia="仿宋"/>
              </w:rPr>
              <w:t>2</w:t>
            </w:r>
          </w:p>
        </w:tc>
        <w:tc>
          <w:tcPr>
            <w:tcW w:w="1800" w:type="dxa"/>
            <w:vAlign w:val="center"/>
          </w:tcPr>
          <w:p w14:paraId="52ECC3C9">
            <w:pPr>
              <w:keepNext w:val="0"/>
              <w:keepLines w:val="0"/>
              <w:widowControl/>
              <w:suppressLineNumbers w:val="0"/>
              <w:jc w:val="left"/>
              <w:rPr>
                <w:rFonts w:ascii="仿宋" w:hAnsi="仿宋" w:eastAsia="仿宋"/>
                <w:color w:val="auto"/>
                <w:kern w:val="0"/>
                <w:sz w:val="20"/>
                <w:szCs w:val="20"/>
                <w:lang w:val="en-US" w:eastAsia="zh-CN" w:bidi="ar"/>
              </w:rPr>
            </w:pPr>
            <w:r>
              <w:rPr>
                <w:rFonts w:ascii="仿宋" w:hAnsi="仿宋" w:eastAsia="仿宋"/>
                <w:color w:val="auto"/>
                <w:kern w:val="0"/>
                <w:sz w:val="20"/>
                <w:szCs w:val="20"/>
                <w:lang w:val="en-US" w:eastAsia="zh-CN" w:bidi="ar"/>
              </w:rPr>
              <w:t>实施计划</w:t>
            </w:r>
          </w:p>
        </w:tc>
        <w:tc>
          <w:tcPr>
            <w:tcW w:w="675" w:type="dxa"/>
            <w:vAlign w:val="center"/>
          </w:tcPr>
          <w:p w14:paraId="259DC2AE">
            <w:pPr>
              <w:jc w:val="left"/>
              <w:rPr>
                <w:rFonts w:hint="eastAsia" w:ascii="仿宋" w:hAnsi="仿宋" w:eastAsia="仿宋"/>
                <w:color w:val="auto"/>
                <w:lang w:val="en-US" w:eastAsia="zh-CN"/>
              </w:rPr>
            </w:pPr>
            <w:r>
              <w:rPr>
                <w:rFonts w:hint="eastAsia" w:ascii="仿宋" w:hAnsi="仿宋" w:eastAsia="仿宋"/>
                <w:color w:val="auto"/>
                <w:lang w:val="en-US" w:eastAsia="zh-CN"/>
              </w:rPr>
              <w:t>8</w:t>
            </w:r>
            <w:r>
              <w:rPr>
                <w:rFonts w:hint="eastAsia" w:ascii="仿宋" w:hAnsi="仿宋" w:eastAsia="仿宋"/>
                <w:color w:val="auto"/>
              </w:rPr>
              <w:t>分</w:t>
            </w:r>
          </w:p>
        </w:tc>
        <w:tc>
          <w:tcPr>
            <w:tcW w:w="6724" w:type="dxa"/>
            <w:vAlign w:val="center"/>
          </w:tcPr>
          <w:p w14:paraId="32A9CAF8">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根据供应商所提供的实施计划是否满足本项目需求及采购人的需要，是否符合本项目的特点及可行性进行评审:</w:t>
            </w:r>
          </w:p>
          <w:p w14:paraId="700035F9">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1.实施方案完整性:</w:t>
            </w:r>
          </w:p>
          <w:p w14:paraId="7855A7CE">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实施方案内容周到细致、资料详尽充分，得4分;实施方案内容较为周到、资料较为充分的，得2分;有实施方案内容的得1分;</w:t>
            </w:r>
          </w:p>
          <w:p w14:paraId="1A69D7AA">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未提供不得分。</w:t>
            </w:r>
          </w:p>
          <w:p w14:paraId="5B2CF03F">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2.实施方案针对性:</w:t>
            </w:r>
          </w:p>
          <w:p w14:paraId="17FA8164">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实施方案整体针对性强且科学合理的，得4分;</w:t>
            </w:r>
          </w:p>
          <w:p w14:paraId="294E3C40">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实施方案整体针对性较强，得2分;</w:t>
            </w:r>
          </w:p>
          <w:p w14:paraId="66F77547">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提供了实施方案内容的，得1分;</w:t>
            </w:r>
          </w:p>
          <w:p w14:paraId="6B8E15CE">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未提供不得分。</w:t>
            </w:r>
          </w:p>
        </w:tc>
      </w:tr>
      <w:tr w14:paraId="0FEC6F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469" w:hRule="atLeast"/>
        </w:trPr>
        <w:tc>
          <w:tcPr>
            <w:tcW w:w="530" w:type="dxa"/>
            <w:vAlign w:val="center"/>
          </w:tcPr>
          <w:p w14:paraId="0157138D">
            <w:pPr>
              <w:spacing w:line="360" w:lineRule="auto"/>
              <w:ind w:firstLine="210" w:firstLineChars="100"/>
              <w:rPr>
                <w:rFonts w:hint="eastAsia" w:ascii="仿宋" w:hAnsi="仿宋" w:eastAsia="仿宋"/>
              </w:rPr>
            </w:pPr>
            <w:r>
              <w:rPr>
                <w:rFonts w:hint="eastAsia" w:ascii="仿宋" w:hAnsi="仿宋" w:eastAsia="仿宋"/>
              </w:rPr>
              <w:t>3</w:t>
            </w:r>
          </w:p>
        </w:tc>
        <w:tc>
          <w:tcPr>
            <w:tcW w:w="1800" w:type="dxa"/>
            <w:vAlign w:val="center"/>
          </w:tcPr>
          <w:p w14:paraId="16BCE46E">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演出组织管理方案</w:t>
            </w:r>
          </w:p>
        </w:tc>
        <w:tc>
          <w:tcPr>
            <w:tcW w:w="675" w:type="dxa"/>
            <w:vAlign w:val="center"/>
          </w:tcPr>
          <w:p w14:paraId="2FA00047">
            <w:pPr>
              <w:jc w:val="left"/>
              <w:rPr>
                <w:rFonts w:hint="eastAsia" w:ascii="仿宋" w:hAnsi="仿宋" w:eastAsia="仿宋"/>
                <w:color w:val="auto"/>
                <w:lang w:val="en-US" w:eastAsia="zh-CN"/>
              </w:rPr>
            </w:pPr>
            <w:r>
              <w:rPr>
                <w:rFonts w:hint="eastAsia" w:ascii="仿宋" w:hAnsi="仿宋" w:eastAsia="仿宋"/>
                <w:color w:val="auto"/>
                <w:lang w:val="en-US" w:eastAsia="zh-CN"/>
              </w:rPr>
              <w:t>6</w:t>
            </w:r>
            <w:r>
              <w:rPr>
                <w:rFonts w:hint="eastAsia" w:ascii="仿宋" w:hAnsi="仿宋" w:eastAsia="仿宋"/>
                <w:color w:val="auto"/>
              </w:rPr>
              <w:t>分</w:t>
            </w:r>
          </w:p>
        </w:tc>
        <w:tc>
          <w:tcPr>
            <w:tcW w:w="6724" w:type="dxa"/>
            <w:vAlign w:val="center"/>
          </w:tcPr>
          <w:p w14:paraId="68AFE842">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根据采购文件要求及供应商提供的组织管理方案情况，进行综合评分:演出组织管理方案完整详细，完全适合本项目采购需求，完整详细，可行性实用性、针对性强，得6分;</w:t>
            </w:r>
          </w:p>
          <w:p w14:paraId="0FF82245">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演出组织管理方案完整，适合本项目采购需求，完整详细，具有可行性、实用性和针对性，得3分;</w:t>
            </w:r>
          </w:p>
          <w:p w14:paraId="2B016E3B">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演出组织管理方案简单基本适合本项目采购需求，可行性、实用性、针对性</w:t>
            </w:r>
          </w:p>
          <w:p w14:paraId="57D1ED6C">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有待改善的，得 1分;</w:t>
            </w:r>
          </w:p>
          <w:p w14:paraId="47C5E0EC">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方案不可行的或者未提供得 0分。</w:t>
            </w:r>
          </w:p>
        </w:tc>
      </w:tr>
      <w:tr w14:paraId="5A29EE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0" w:type="dxa"/>
            <w:vAlign w:val="center"/>
          </w:tcPr>
          <w:p w14:paraId="19B1CEA4">
            <w:pPr>
              <w:spacing w:line="360" w:lineRule="auto"/>
              <w:ind w:firstLine="210" w:firstLineChars="100"/>
              <w:rPr>
                <w:rFonts w:hint="eastAsia" w:ascii="仿宋" w:hAnsi="仿宋" w:eastAsia="仿宋"/>
              </w:rPr>
            </w:pPr>
            <w:r>
              <w:rPr>
                <w:rFonts w:hint="eastAsia" w:ascii="仿宋" w:hAnsi="仿宋" w:eastAsia="仿宋"/>
              </w:rPr>
              <w:t>4</w:t>
            </w:r>
          </w:p>
        </w:tc>
        <w:tc>
          <w:tcPr>
            <w:tcW w:w="1800" w:type="dxa"/>
            <w:vAlign w:val="center"/>
          </w:tcPr>
          <w:p w14:paraId="71E4D2FB">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节目内容方案</w:t>
            </w:r>
          </w:p>
        </w:tc>
        <w:tc>
          <w:tcPr>
            <w:tcW w:w="675" w:type="dxa"/>
            <w:vAlign w:val="center"/>
          </w:tcPr>
          <w:p w14:paraId="38D0D181">
            <w:pPr>
              <w:jc w:val="left"/>
              <w:rPr>
                <w:rFonts w:hint="eastAsia" w:ascii="仿宋" w:hAnsi="仿宋" w:eastAsia="仿宋"/>
                <w:color w:val="auto"/>
                <w:lang w:val="en-US" w:eastAsia="zh-CN"/>
              </w:rPr>
            </w:pPr>
            <w:r>
              <w:rPr>
                <w:rFonts w:hint="eastAsia" w:ascii="仿宋" w:hAnsi="仿宋" w:eastAsia="仿宋"/>
                <w:color w:val="auto"/>
                <w:lang w:val="en-US" w:eastAsia="zh-CN"/>
              </w:rPr>
              <w:t>12</w:t>
            </w:r>
            <w:r>
              <w:rPr>
                <w:rFonts w:hint="eastAsia" w:ascii="仿宋" w:hAnsi="仿宋" w:eastAsia="仿宋"/>
                <w:color w:val="auto"/>
              </w:rPr>
              <w:t>分</w:t>
            </w:r>
          </w:p>
        </w:tc>
        <w:tc>
          <w:tcPr>
            <w:tcW w:w="6724" w:type="dxa"/>
            <w:vAlign w:val="center"/>
          </w:tcPr>
          <w:p w14:paraId="32E81E76">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根据本项目服务宗旨、宣传主题以舞蹈、歌曲等能够体现芜湖城市精神、芜湖职工积极向上精神面貌，庆祝国庆为主要内容，制定符合本次需求的节目内容方案进行评审:</w:t>
            </w:r>
          </w:p>
          <w:p w14:paraId="66505D57">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1、剧目体现出的精神面貌:</w:t>
            </w:r>
          </w:p>
          <w:p w14:paraId="29A3B678">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拟演出的剧目内容切实可行且符合本项目特点及需求具有弘扬社会主义核心价值观、唱响爱国主义主旋律、弘扬劳动精神的剧目得6分;</w:t>
            </w:r>
          </w:p>
          <w:p w14:paraId="3496B035">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拟演出的剧目满足采购需求的，得3分;</w:t>
            </w:r>
          </w:p>
          <w:p w14:paraId="47BD9600">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拟演出的剧目基本满足采购需求的，得 1分;</w:t>
            </w:r>
          </w:p>
          <w:p w14:paraId="18CEBA6E">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未提供的不得分。</w:t>
            </w:r>
          </w:p>
          <w:p w14:paraId="2FBF54F5">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2.剧目的精良性:</w:t>
            </w:r>
          </w:p>
          <w:p w14:paraId="71CCF773">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选择或创编的剧目思想精深，适合不同年龄阶段特点的思想性、艺术性俱佳的得6分;</w:t>
            </w:r>
          </w:p>
          <w:p w14:paraId="040A7CC5">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选择或创编的剧目思想较为深刻，基本符合不同年龄阶段特点的思想性、艺术性的，得3分;</w:t>
            </w:r>
          </w:p>
          <w:p w14:paraId="08E6CF3E">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选择或创编的剧目内容部分满足采购需求的，得1分;</w:t>
            </w:r>
          </w:p>
          <w:p w14:paraId="34DC26C4">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未提供不得分。</w:t>
            </w:r>
          </w:p>
        </w:tc>
      </w:tr>
      <w:tr w14:paraId="11BA552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0" w:type="dxa"/>
            <w:vAlign w:val="center"/>
          </w:tcPr>
          <w:p w14:paraId="1731395B">
            <w:pPr>
              <w:spacing w:line="360" w:lineRule="auto"/>
              <w:ind w:firstLine="210" w:firstLineChars="100"/>
              <w:rPr>
                <w:rFonts w:hint="eastAsia" w:ascii="仿宋" w:hAnsi="仿宋" w:eastAsia="仿宋"/>
                <w:lang w:val="en-US" w:eastAsia="zh-CN"/>
              </w:rPr>
            </w:pPr>
            <w:r>
              <w:rPr>
                <w:rFonts w:hint="eastAsia" w:ascii="仿宋" w:hAnsi="仿宋" w:eastAsia="仿宋"/>
                <w:lang w:val="en-US" w:eastAsia="zh-CN"/>
              </w:rPr>
              <w:t>5</w:t>
            </w:r>
          </w:p>
        </w:tc>
        <w:tc>
          <w:tcPr>
            <w:tcW w:w="1800" w:type="dxa"/>
            <w:vAlign w:val="center"/>
          </w:tcPr>
          <w:p w14:paraId="62C11EF4">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项目需求理解与重难点分析及应对</w:t>
            </w:r>
          </w:p>
        </w:tc>
        <w:tc>
          <w:tcPr>
            <w:tcW w:w="675" w:type="dxa"/>
            <w:vAlign w:val="center"/>
          </w:tcPr>
          <w:p w14:paraId="3894171D">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10分</w:t>
            </w:r>
          </w:p>
        </w:tc>
        <w:tc>
          <w:tcPr>
            <w:tcW w:w="6724" w:type="dxa"/>
            <w:vAlign w:val="center"/>
          </w:tcPr>
          <w:p w14:paraId="5A4B5700">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根据投标供应商对本项目工作芜湖城市精神、芜湖职工风采、讴歌祖国伟大成就的需求理解与重难点分析进行评分：</w:t>
            </w:r>
          </w:p>
          <w:p w14:paraId="32A1E691">
            <w:pPr>
              <w:keepNext w:val="0"/>
              <w:keepLines w:val="0"/>
              <w:widowControl/>
              <w:numPr>
                <w:ilvl w:val="0"/>
                <w:numId w:val="3"/>
              </w:numPr>
              <w:suppressLineNumbers w:val="0"/>
              <w:ind w:left="100" w:leftChars="0" w:firstLine="0" w:firstLineChars="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项目需求理解工作重点分析方案： </w:t>
            </w:r>
          </w:p>
          <w:p w14:paraId="4EC79443">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对本项目需求理解准确，针对性强，对重难点分析到位的，得 5 分； </w:t>
            </w:r>
          </w:p>
          <w:p w14:paraId="3A9FEEA8">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对本项目业务需求理解较为准确，针对性较强，对项目的重难点分析比较到位的，得 3 分； </w:t>
            </w:r>
          </w:p>
          <w:p w14:paraId="4CC96FA4">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针对本项目提供了需求理解有及重难点分析的，得 1 分； </w:t>
            </w:r>
          </w:p>
          <w:p w14:paraId="7E3A7A8E">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未提供不得分。 </w:t>
            </w:r>
          </w:p>
          <w:p w14:paraId="1F790856">
            <w:pPr>
              <w:keepNext w:val="0"/>
              <w:keepLines w:val="0"/>
              <w:widowControl/>
              <w:numPr>
                <w:ilvl w:val="0"/>
                <w:numId w:val="3"/>
              </w:numPr>
              <w:suppressLineNumbers w:val="0"/>
              <w:ind w:left="100" w:leftChars="0" w:firstLine="0" w:firstLineChars="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项目需求理解，工作重点应对方案： </w:t>
            </w:r>
          </w:p>
          <w:p w14:paraId="68409234">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对本项目需求理解准确，针对性强，项目重难点应对方案科学合理的，得 5分； </w:t>
            </w:r>
          </w:p>
          <w:p w14:paraId="6F8AF200">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对本项目需求理解较为准确，项目的重难点应对方案较合理的，得 3 分； </w:t>
            </w:r>
          </w:p>
          <w:p w14:paraId="085CC8A7">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 xml:space="preserve">对本项目提供了需求理解，有重难点应对方案的，得 1 分； </w:t>
            </w:r>
          </w:p>
          <w:p w14:paraId="37F76E7C">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未提供不得分</w:t>
            </w:r>
          </w:p>
        </w:tc>
      </w:tr>
      <w:tr w14:paraId="13996F4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0" w:type="dxa"/>
            <w:vAlign w:val="center"/>
          </w:tcPr>
          <w:p w14:paraId="0F8BA4E5">
            <w:pPr>
              <w:spacing w:line="360" w:lineRule="auto"/>
              <w:ind w:firstLine="210" w:firstLineChars="100"/>
              <w:rPr>
                <w:rFonts w:hint="eastAsia" w:ascii="仿宋" w:hAnsi="仿宋" w:eastAsia="仿宋"/>
                <w:lang w:val="en-US" w:eastAsia="zh-CN"/>
              </w:rPr>
            </w:pPr>
            <w:r>
              <w:rPr>
                <w:rFonts w:hint="eastAsia" w:ascii="仿宋" w:hAnsi="仿宋" w:eastAsia="仿宋"/>
                <w:lang w:val="en-US" w:eastAsia="zh-CN"/>
              </w:rPr>
              <w:t>6</w:t>
            </w:r>
          </w:p>
        </w:tc>
        <w:tc>
          <w:tcPr>
            <w:tcW w:w="1800" w:type="dxa"/>
            <w:vAlign w:val="center"/>
          </w:tcPr>
          <w:p w14:paraId="45965502">
            <w:pPr>
              <w:keepNext w:val="0"/>
              <w:keepLines w:val="0"/>
              <w:widowControl/>
              <w:numPr>
                <w:ilvl w:val="0"/>
                <w:numId w:val="0"/>
              </w:numPr>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服务人员配备</w:t>
            </w:r>
          </w:p>
        </w:tc>
        <w:tc>
          <w:tcPr>
            <w:tcW w:w="675" w:type="dxa"/>
            <w:vAlign w:val="center"/>
          </w:tcPr>
          <w:p w14:paraId="1B1EC617">
            <w:pPr>
              <w:keepNext w:val="0"/>
              <w:keepLines w:val="0"/>
              <w:widowControl/>
              <w:numPr>
                <w:ilvl w:val="0"/>
                <w:numId w:val="0"/>
              </w:numPr>
              <w:suppressLineNumbers w:val="0"/>
              <w:jc w:val="center"/>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6分</w:t>
            </w:r>
          </w:p>
        </w:tc>
        <w:tc>
          <w:tcPr>
            <w:tcW w:w="6724" w:type="dxa"/>
            <w:vAlign w:val="center"/>
          </w:tcPr>
          <w:p w14:paraId="13C2419D">
            <w:pPr>
              <w:keepNext w:val="0"/>
              <w:keepLines w:val="0"/>
              <w:widowControl/>
              <w:suppressLineNumbers w:val="0"/>
              <w:jc w:val="left"/>
              <w:rPr>
                <w:rFonts w:hint="eastAsia" w:ascii="仿宋" w:hAnsi="仿宋" w:eastAsia="仿宋"/>
                <w:color w:val="auto"/>
                <w:kern w:val="0"/>
                <w:sz w:val="20"/>
                <w:szCs w:val="20"/>
                <w:lang w:val="en-US" w:eastAsia="zh-CN" w:bidi="ar"/>
              </w:rPr>
            </w:pPr>
            <w:r>
              <w:rPr>
                <w:rFonts w:hint="eastAsia" w:ascii="仿宋" w:hAnsi="仿宋" w:eastAsia="仿宋"/>
                <w:color w:val="auto"/>
                <w:kern w:val="0"/>
                <w:sz w:val="20"/>
                <w:szCs w:val="20"/>
                <w:lang w:val="en-US" w:eastAsia="zh-CN" w:bidi="ar"/>
              </w:rPr>
              <w:t>人员配备满足需满足采购需求，有相关经验的增加1人加3分（其中原创节目编导的节目获过省级以上奖项或执行导演参与过舞台演出策划执行的），满分 6 分； 注：提供获奖证书、文件等资料复印件或扫描件，提供参与演出策划执行的相关证明。</w:t>
            </w:r>
          </w:p>
        </w:tc>
      </w:tr>
      <w:tr w14:paraId="64BE94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0" w:type="dxa"/>
            <w:vAlign w:val="center"/>
          </w:tcPr>
          <w:p w14:paraId="289AB81B">
            <w:pPr>
              <w:spacing w:line="360" w:lineRule="auto"/>
              <w:ind w:firstLine="210" w:firstLineChars="100"/>
              <w:rPr>
                <w:rFonts w:hint="eastAsia" w:ascii="仿宋" w:hAnsi="仿宋" w:eastAsia="仿宋"/>
                <w:lang w:val="en-US" w:eastAsia="zh-CN"/>
              </w:rPr>
            </w:pPr>
            <w:r>
              <w:rPr>
                <w:rFonts w:hint="eastAsia" w:ascii="仿宋" w:hAnsi="仿宋" w:eastAsia="仿宋"/>
                <w:lang w:val="en-US" w:eastAsia="zh-CN"/>
              </w:rPr>
              <w:t>7</w:t>
            </w:r>
          </w:p>
        </w:tc>
        <w:tc>
          <w:tcPr>
            <w:tcW w:w="1800" w:type="dxa"/>
            <w:vAlign w:val="center"/>
          </w:tcPr>
          <w:p w14:paraId="39642BAA">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人员培训与管理</w:t>
            </w:r>
          </w:p>
        </w:tc>
        <w:tc>
          <w:tcPr>
            <w:tcW w:w="675" w:type="dxa"/>
            <w:vAlign w:val="center"/>
          </w:tcPr>
          <w:p w14:paraId="615D71A1">
            <w:pPr>
              <w:spacing w:line="276" w:lineRule="auto"/>
              <w:jc w:val="center"/>
              <w:rPr>
                <w:rFonts w:hint="eastAsia" w:ascii="仿宋" w:hAnsi="仿宋" w:eastAsia="仿宋"/>
                <w:szCs w:val="21"/>
              </w:rPr>
            </w:pPr>
            <w:r>
              <w:rPr>
                <w:rFonts w:hint="eastAsia" w:ascii="仿宋" w:hAnsi="仿宋" w:eastAsia="仿宋"/>
                <w:szCs w:val="21"/>
              </w:rPr>
              <w:t>6分</w:t>
            </w:r>
          </w:p>
        </w:tc>
        <w:tc>
          <w:tcPr>
            <w:tcW w:w="6724" w:type="dxa"/>
            <w:vAlign w:val="center"/>
          </w:tcPr>
          <w:p w14:paraId="008DD6B9">
            <w:pPr>
              <w:pStyle w:val="12"/>
              <w:wordWrap w:val="0"/>
              <w:topLinePunct/>
              <w:rPr>
                <w:rFonts w:hint="eastAsia" w:eastAsia="仿宋"/>
                <w:lang w:val="en-US" w:eastAsia="zh-CN"/>
              </w:rPr>
            </w:pPr>
            <w:r>
              <w:rPr>
                <w:rFonts w:hint="eastAsia" w:eastAsia="仿宋"/>
                <w:lang w:val="en-US" w:eastAsia="zh-CN"/>
              </w:rPr>
              <w:t>根据本项目特点和实际需求，提出针对本项目的人员培训方案，方案至少包含培训目标、培训内容和方式等方面进行评审：</w:t>
            </w:r>
          </w:p>
          <w:p w14:paraId="1E2EFDF2">
            <w:pPr>
              <w:pStyle w:val="12"/>
              <w:wordWrap w:val="0"/>
              <w:topLinePunct/>
              <w:rPr>
                <w:rFonts w:hint="eastAsia" w:eastAsia="仿宋"/>
                <w:lang w:val="en-US" w:eastAsia="zh-CN"/>
              </w:rPr>
            </w:pPr>
            <w:r>
              <w:rPr>
                <w:rFonts w:hint="eastAsia" w:eastAsia="仿宋"/>
                <w:lang w:val="en-US" w:eastAsia="zh-CN"/>
              </w:rPr>
              <w:t>培训目标思路清晰、培训内容和方式明确完整详细，实用、针对性强，完全贴切采购需求的，得 6 分；</w:t>
            </w:r>
          </w:p>
          <w:p w14:paraId="1970242C">
            <w:pPr>
              <w:pStyle w:val="12"/>
              <w:wordWrap w:val="0"/>
              <w:topLinePunct/>
              <w:rPr>
                <w:rFonts w:hint="eastAsia" w:eastAsia="仿宋"/>
                <w:lang w:val="en-US" w:eastAsia="zh-CN"/>
              </w:rPr>
            </w:pPr>
            <w:r>
              <w:rPr>
                <w:rFonts w:hint="eastAsia" w:eastAsia="仿宋"/>
                <w:lang w:val="en-US" w:eastAsia="zh-CN"/>
              </w:rPr>
              <w:t>培训目标思路明确、培训内容和方式明确完整，具有实用性，针对性，贴切采购需求的，得 3 分；</w:t>
            </w:r>
          </w:p>
          <w:p w14:paraId="6D982448">
            <w:pPr>
              <w:pStyle w:val="12"/>
              <w:wordWrap w:val="0"/>
              <w:topLinePunct/>
              <w:rPr>
                <w:rFonts w:hint="eastAsia" w:eastAsia="仿宋"/>
                <w:lang w:val="en-US" w:eastAsia="zh-CN"/>
              </w:rPr>
            </w:pPr>
            <w:r>
              <w:rPr>
                <w:rFonts w:hint="eastAsia" w:eastAsia="仿宋"/>
                <w:lang w:val="en-US" w:eastAsia="zh-CN"/>
              </w:rPr>
              <w:t>培训目标思路简洁、培训内容和方式内容简单，实用性，针对性有待完善和充实，得 1 分；</w:t>
            </w:r>
          </w:p>
          <w:p w14:paraId="47EA0584">
            <w:pPr>
              <w:pStyle w:val="12"/>
              <w:wordWrap w:val="0"/>
              <w:topLinePunct/>
              <w:rPr>
                <w:rFonts w:hint="eastAsia" w:eastAsia="仿宋"/>
                <w:lang w:val="en-US" w:eastAsia="zh-CN"/>
              </w:rPr>
            </w:pPr>
            <w:r>
              <w:rPr>
                <w:rFonts w:hint="eastAsia" w:eastAsia="仿宋"/>
                <w:lang w:val="en-US" w:eastAsia="zh-CN"/>
              </w:rPr>
              <w:t>内容有重大缺陷或未提供相关内容的得 0 分</w:t>
            </w:r>
          </w:p>
        </w:tc>
      </w:tr>
      <w:tr w14:paraId="564397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0" w:type="dxa"/>
            <w:vAlign w:val="center"/>
          </w:tcPr>
          <w:p w14:paraId="172C3224">
            <w:pPr>
              <w:spacing w:line="360" w:lineRule="auto"/>
              <w:ind w:firstLine="210" w:firstLineChars="100"/>
              <w:rPr>
                <w:rFonts w:hint="eastAsia" w:ascii="仿宋" w:hAnsi="仿宋" w:eastAsia="仿宋"/>
                <w:lang w:val="en-US" w:eastAsia="zh-CN"/>
              </w:rPr>
            </w:pPr>
            <w:r>
              <w:rPr>
                <w:rFonts w:hint="eastAsia" w:ascii="仿宋" w:hAnsi="仿宋" w:eastAsia="仿宋"/>
                <w:lang w:val="en-US" w:eastAsia="zh-CN"/>
              </w:rPr>
              <w:t>8</w:t>
            </w:r>
          </w:p>
        </w:tc>
        <w:tc>
          <w:tcPr>
            <w:tcW w:w="1800" w:type="dxa"/>
            <w:vAlign w:val="center"/>
          </w:tcPr>
          <w:p w14:paraId="24F67133">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演出拍摄质量控制方案</w:t>
            </w:r>
          </w:p>
        </w:tc>
        <w:tc>
          <w:tcPr>
            <w:tcW w:w="675" w:type="dxa"/>
            <w:vAlign w:val="center"/>
          </w:tcPr>
          <w:p w14:paraId="3EDFCCF4">
            <w:pPr>
              <w:keepNext w:val="0"/>
              <w:keepLines w:val="0"/>
              <w:widowControl/>
              <w:suppressLineNumbers w:val="0"/>
              <w:jc w:val="center"/>
              <w:rPr>
                <w:rFonts w:hint="eastAsia" w:ascii="仿宋" w:hAnsi="仿宋" w:eastAsia="仿宋"/>
                <w:color w:val="000000"/>
                <w:kern w:val="0"/>
                <w:sz w:val="22"/>
                <w:szCs w:val="22"/>
                <w:lang w:val="en-US" w:eastAsia="zh-CN" w:bidi="ar"/>
              </w:rPr>
            </w:pPr>
            <w:r>
              <w:rPr>
                <w:rFonts w:hint="eastAsia" w:ascii="仿宋" w:hAnsi="仿宋" w:eastAsia="仿宋"/>
                <w:color w:val="000000"/>
                <w:kern w:val="0"/>
                <w:sz w:val="22"/>
                <w:szCs w:val="22"/>
                <w:lang w:val="en-US" w:eastAsia="zh-CN" w:bidi="ar"/>
              </w:rPr>
              <w:t>6</w:t>
            </w:r>
            <w:r>
              <w:rPr>
                <w:rFonts w:ascii="仿宋" w:hAnsi="仿宋" w:eastAsia="仿宋"/>
                <w:color w:val="000000"/>
                <w:kern w:val="0"/>
                <w:sz w:val="22"/>
                <w:szCs w:val="22"/>
                <w:lang w:val="en-US" w:eastAsia="zh-CN" w:bidi="ar"/>
              </w:rPr>
              <w:t>分</w:t>
            </w:r>
          </w:p>
        </w:tc>
        <w:tc>
          <w:tcPr>
            <w:tcW w:w="6724" w:type="dxa"/>
            <w:vAlign w:val="center"/>
          </w:tcPr>
          <w:p w14:paraId="6BBB53F9">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针对本项目有具体详实的质量控制方案，贴合采购需求，内控制度完善，得6分</w:t>
            </w:r>
          </w:p>
          <w:p w14:paraId="4267CE8C">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针对本项目有详细的质量控制方案，满足采购需求，得3分;</w:t>
            </w:r>
          </w:p>
          <w:p w14:paraId="7F8936F8">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有质量控制方案，基本满足采购需求得1分;</w:t>
            </w:r>
          </w:p>
          <w:p w14:paraId="42FE4D58">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未提供不得分。</w:t>
            </w:r>
          </w:p>
        </w:tc>
      </w:tr>
      <w:tr w14:paraId="55B000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0" w:type="dxa"/>
            <w:vAlign w:val="center"/>
          </w:tcPr>
          <w:p w14:paraId="5739BDEE">
            <w:pPr>
              <w:spacing w:line="360" w:lineRule="auto"/>
              <w:ind w:firstLine="210" w:firstLineChars="100"/>
              <w:rPr>
                <w:rFonts w:hint="eastAsia" w:ascii="仿宋" w:hAnsi="仿宋" w:eastAsia="仿宋"/>
                <w:lang w:val="en-US" w:eastAsia="zh-CN"/>
              </w:rPr>
            </w:pPr>
            <w:r>
              <w:rPr>
                <w:rFonts w:hint="eastAsia" w:ascii="仿宋" w:hAnsi="仿宋" w:eastAsia="仿宋"/>
                <w:lang w:val="en-US" w:eastAsia="zh-CN"/>
              </w:rPr>
              <w:t>9</w:t>
            </w:r>
          </w:p>
        </w:tc>
        <w:tc>
          <w:tcPr>
            <w:tcW w:w="1800" w:type="dxa"/>
            <w:vAlign w:val="center"/>
          </w:tcPr>
          <w:p w14:paraId="076E9C43">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增值服务方案</w:t>
            </w:r>
          </w:p>
        </w:tc>
        <w:tc>
          <w:tcPr>
            <w:tcW w:w="675" w:type="dxa"/>
            <w:vAlign w:val="center"/>
          </w:tcPr>
          <w:p w14:paraId="07EBC808">
            <w:pPr>
              <w:keepNext w:val="0"/>
              <w:keepLines w:val="0"/>
              <w:widowControl/>
              <w:suppressLineNumbers w:val="0"/>
              <w:jc w:val="center"/>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6分</w:t>
            </w:r>
          </w:p>
        </w:tc>
        <w:tc>
          <w:tcPr>
            <w:tcW w:w="6724" w:type="dxa"/>
            <w:vAlign w:val="center"/>
          </w:tcPr>
          <w:p w14:paraId="01560948">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针对“芜湖市总工会庆国庆全市职工文艺汇演”特点及实际需求提供能够丰富整体活动效果的增值服务方案进行综合评分:</w:t>
            </w:r>
          </w:p>
          <w:p w14:paraId="337763B9">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方案内容详细完整，可行性、实用性和针对性强的，得6分;</w:t>
            </w:r>
          </w:p>
          <w:p w14:paraId="762425D7">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方案内容完整，具有可行性、实用性和针对性的，得3分;</w:t>
            </w:r>
          </w:p>
          <w:p w14:paraId="6CD2AD18">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方案内容基本适合项目需求，可行性、实用性和针对性有待改善的，得1分;</w:t>
            </w:r>
          </w:p>
          <w:p w14:paraId="148B5F71">
            <w:pPr>
              <w:keepNext w:val="0"/>
              <w:keepLines w:val="0"/>
              <w:widowControl/>
              <w:suppressLineNumbers w:val="0"/>
              <w:jc w:val="left"/>
              <w:rPr>
                <w:rFonts w:hint="eastAsia" w:ascii="仿宋" w:hAnsi="仿宋" w:eastAsia="仿宋"/>
                <w:color w:val="000000"/>
                <w:kern w:val="0"/>
                <w:sz w:val="20"/>
                <w:szCs w:val="20"/>
                <w:lang w:val="en-US" w:eastAsia="zh-CN" w:bidi="ar"/>
              </w:rPr>
            </w:pPr>
            <w:r>
              <w:rPr>
                <w:rFonts w:hint="eastAsia" w:ascii="仿宋" w:hAnsi="仿宋" w:eastAsia="仿宋"/>
                <w:color w:val="000000"/>
                <w:kern w:val="0"/>
                <w:sz w:val="20"/>
                <w:szCs w:val="20"/>
                <w:lang w:val="en-US" w:eastAsia="zh-CN" w:bidi="ar"/>
              </w:rPr>
              <w:t>方案表达混乱不符合项目需求或未提供相关内容不得分。</w:t>
            </w:r>
          </w:p>
        </w:tc>
      </w:tr>
    </w:tbl>
    <w:p w14:paraId="75EEE2EB">
      <w:pPr>
        <w:spacing w:line="360" w:lineRule="auto"/>
        <w:rPr>
          <w:rFonts w:hint="eastAsia" w:ascii="仿宋" w:hAnsi="仿宋" w:eastAsia="仿宋"/>
          <w:color w:val="000000"/>
          <w:sz w:val="24"/>
        </w:rPr>
      </w:pPr>
    </w:p>
    <w:p w14:paraId="260A7820">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备注：磋商小组成员对“技术部分”合计分超出其他成员平均值±50%时，须写明评分依据及理由。 </w:t>
      </w:r>
    </w:p>
    <w:bookmarkEnd w:id="5"/>
    <w:p w14:paraId="6B39707B">
      <w:pPr>
        <w:spacing w:line="360" w:lineRule="auto"/>
        <w:rPr>
          <w:rFonts w:hint="eastAsia" w:ascii="仿宋" w:hAnsi="仿宋" w:eastAsia="仿宋"/>
          <w:b/>
          <w:color w:val="000000"/>
          <w:sz w:val="24"/>
        </w:rPr>
      </w:pPr>
      <w:r>
        <w:rPr>
          <w:rFonts w:hint="eastAsia" w:ascii="仿宋" w:hAnsi="仿宋" w:eastAsia="仿宋"/>
          <w:b/>
          <w:color w:val="000000"/>
          <w:sz w:val="24"/>
        </w:rPr>
        <w:t>（三）其他</w:t>
      </w:r>
    </w:p>
    <w:p w14:paraId="2230A88F">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1、评标委员会（安排代理机构）对拟推荐的中标候选供应商评标结束当日的信用状况进行查询，经查询若被列入供应商须知前附表中第1</w:t>
      </w: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条信用查询的，由评标委员会取消其中标候选供应商资格，并重新确定中标候选供应商人选，完成相关工作，与此同时，将网站查询结果截图打印出来后由评标委员会签字确认，记入纸质评审报告中。</w:t>
      </w:r>
    </w:p>
    <w:p w14:paraId="5F2EA391">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成交结果公告：公告内容应包括采购人及其委托的采购代理机构的名称、地址、联系方式，项目名称和项目编号，成交供应商名称、地址和中标金额，主要标的名称、服务范围、服务要求、服务时间、服务标准，成交供应商业绩，评审被否决单位及原因，成交公告期限以及磋商小组成员名单。竞争性磋商文件随之公告。</w:t>
      </w:r>
    </w:p>
    <w:p w14:paraId="275A51D3">
      <w:pPr>
        <w:pStyle w:val="4"/>
        <w:spacing w:line="500" w:lineRule="exact"/>
        <w:ind w:firstLine="0"/>
        <w:rPr>
          <w:rFonts w:hint="eastAsia" w:ascii="仿宋" w:hAnsi="仿宋" w:eastAsia="仿宋"/>
          <w:color w:val="000000"/>
          <w:kern w:val="44"/>
          <w:sz w:val="30"/>
          <w:szCs w:val="30"/>
        </w:rPr>
      </w:pPr>
      <w:bookmarkStart w:id="9" w:name="_Hlk38275412"/>
      <w:bookmarkEnd w:id="9"/>
      <w:r>
        <w:rPr>
          <w:rFonts w:hint="eastAsia" w:ascii="仿宋" w:hAnsi="仿宋" w:eastAsia="仿宋"/>
          <w:color w:val="000000"/>
          <w:kern w:val="44"/>
          <w:sz w:val="30"/>
          <w:szCs w:val="30"/>
        </w:rPr>
        <w:br w:type="page"/>
      </w:r>
      <w:r>
        <w:rPr>
          <w:rFonts w:hint="eastAsia" w:ascii="仿宋" w:hAnsi="仿宋" w:eastAsia="仿宋"/>
          <w:color w:val="000000"/>
          <w:sz w:val="28"/>
        </w:rPr>
        <w:t>第六章  竞争性磋商须知</w:t>
      </w:r>
    </w:p>
    <w:p w14:paraId="1AC9AC26">
      <w:pPr>
        <w:snapToGrid w:val="0"/>
        <w:spacing w:line="360" w:lineRule="auto"/>
        <w:rPr>
          <w:rFonts w:hint="eastAsia" w:ascii="仿宋" w:hAnsi="仿宋" w:eastAsia="仿宋"/>
          <w:b/>
          <w:color w:val="000000"/>
        </w:rPr>
      </w:pPr>
      <w:r>
        <w:rPr>
          <w:rFonts w:hint="eastAsia" w:ascii="仿宋" w:hAnsi="仿宋" w:eastAsia="仿宋"/>
          <w:b/>
          <w:color w:val="000000"/>
        </w:rPr>
        <w:t>一、说明</w:t>
      </w:r>
    </w:p>
    <w:p w14:paraId="07FA03C3">
      <w:pPr>
        <w:snapToGrid w:val="0"/>
        <w:spacing w:before="156" w:line="360" w:lineRule="auto"/>
        <w:rPr>
          <w:rFonts w:hint="eastAsia" w:ascii="仿宋" w:hAnsi="仿宋" w:eastAsia="仿宋"/>
          <w:b/>
          <w:bCs/>
          <w:color w:val="000000"/>
        </w:rPr>
      </w:pPr>
      <w:r>
        <w:rPr>
          <w:rFonts w:hint="eastAsia" w:ascii="仿宋" w:hAnsi="仿宋" w:eastAsia="仿宋"/>
          <w:b/>
          <w:bCs/>
          <w:color w:val="000000"/>
        </w:rPr>
        <w:t>1.定义</w:t>
      </w:r>
    </w:p>
    <w:p w14:paraId="1ABD887D">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1.1 “采购人”系指依法进行政府采购的国家机关、事业单位、团体组织。本次采购的采购人名称、地址、电话、联系人见</w:t>
      </w:r>
      <w:r>
        <w:rPr>
          <w:rFonts w:hint="eastAsia" w:ascii="仿宋" w:hAnsi="仿宋" w:eastAsia="仿宋"/>
          <w:b/>
          <w:color w:val="000000"/>
        </w:rPr>
        <w:t>供应商须知前附表</w:t>
      </w:r>
      <w:r>
        <w:rPr>
          <w:rFonts w:hint="eastAsia" w:ascii="仿宋" w:hAnsi="仿宋" w:eastAsia="仿宋"/>
          <w:color w:val="000000"/>
        </w:rPr>
        <w:t>。</w:t>
      </w:r>
    </w:p>
    <w:p w14:paraId="7B39477D">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1.2“供应商”系指响应竞争性磋商采购文件要求、参加</w:t>
      </w:r>
      <w:r>
        <w:rPr>
          <w:rFonts w:hint="eastAsia" w:ascii="仿宋" w:hAnsi="仿宋" w:eastAsia="仿宋"/>
          <w:color w:val="000000"/>
          <w:kern w:val="0"/>
        </w:rPr>
        <w:t>竞争性磋商</w:t>
      </w:r>
      <w:r>
        <w:rPr>
          <w:rFonts w:hint="eastAsia" w:ascii="仿宋" w:hAnsi="仿宋" w:eastAsia="仿宋"/>
          <w:color w:val="000000"/>
          <w:kern w:val="0"/>
          <w:lang w:val="zh-CN"/>
        </w:rPr>
        <w:t>采购活动</w:t>
      </w:r>
      <w:r>
        <w:rPr>
          <w:rFonts w:hint="eastAsia" w:ascii="仿宋" w:hAnsi="仿宋" w:eastAsia="仿宋"/>
          <w:color w:val="000000"/>
        </w:rPr>
        <w:t>的法人、其他组织或自然人。</w:t>
      </w:r>
    </w:p>
    <w:p w14:paraId="0D0ABAA1">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1.3“货物” 系指供应商按竞争性磋商采购文件规定,向采购人提供的各种形态和种类的物品，包括原材料、设备、产品(包括软件)及相关的其备品备件、工具、手册及其它技术资料和材料。</w:t>
      </w:r>
    </w:p>
    <w:p w14:paraId="2403767F">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1.4“服务” 系指竞争性磋商采购文件规定供应商应承担的系统集成、安装、调试、技术协助、校准、培训以及其它类似的义务。</w:t>
      </w:r>
    </w:p>
    <w:p w14:paraId="0AD2911D">
      <w:pPr>
        <w:snapToGrid w:val="0"/>
        <w:spacing w:before="156" w:line="360" w:lineRule="auto"/>
        <w:rPr>
          <w:rFonts w:hint="eastAsia" w:ascii="仿宋" w:hAnsi="仿宋" w:eastAsia="仿宋"/>
          <w:b/>
          <w:bCs/>
          <w:color w:val="000000"/>
        </w:rPr>
      </w:pPr>
      <w:r>
        <w:rPr>
          <w:rFonts w:hint="eastAsia" w:ascii="仿宋" w:hAnsi="仿宋" w:eastAsia="仿宋"/>
          <w:b/>
          <w:bCs/>
          <w:color w:val="000000"/>
        </w:rPr>
        <w:t xml:space="preserve">2.参与竞争性磋商的费用 </w:t>
      </w:r>
    </w:p>
    <w:p w14:paraId="6F39083E">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2.1无论竞争性磋商的结果如何，供应商应自行承担所有与</w:t>
      </w:r>
      <w:r>
        <w:rPr>
          <w:rFonts w:hint="eastAsia" w:ascii="仿宋" w:hAnsi="仿宋" w:eastAsia="仿宋"/>
          <w:color w:val="000000"/>
          <w:kern w:val="0"/>
        </w:rPr>
        <w:t>竞争性磋商</w:t>
      </w:r>
      <w:r>
        <w:rPr>
          <w:rFonts w:hint="eastAsia" w:ascii="仿宋" w:hAnsi="仿宋" w:eastAsia="仿宋"/>
          <w:color w:val="000000"/>
          <w:kern w:val="0"/>
          <w:lang w:val="zh-CN"/>
        </w:rPr>
        <w:t>采购活动</w:t>
      </w:r>
      <w:r>
        <w:rPr>
          <w:rFonts w:hint="eastAsia" w:ascii="仿宋" w:hAnsi="仿宋" w:eastAsia="仿宋"/>
          <w:color w:val="000000"/>
        </w:rPr>
        <w:t>有关的全部费用。</w:t>
      </w:r>
    </w:p>
    <w:p w14:paraId="523B1B54">
      <w:pPr>
        <w:snapToGrid w:val="0"/>
        <w:spacing w:before="156" w:line="360" w:lineRule="auto"/>
        <w:rPr>
          <w:rFonts w:hint="eastAsia" w:ascii="仿宋" w:hAnsi="仿宋" w:eastAsia="仿宋"/>
          <w:b/>
          <w:color w:val="000000"/>
        </w:rPr>
      </w:pPr>
      <w:r>
        <w:rPr>
          <w:rFonts w:hint="eastAsia" w:ascii="仿宋" w:hAnsi="仿宋" w:eastAsia="仿宋"/>
          <w:b/>
          <w:color w:val="000000"/>
        </w:rPr>
        <w:t>3．</w:t>
      </w:r>
      <w:r>
        <w:rPr>
          <w:rFonts w:hint="eastAsia" w:ascii="仿宋" w:hAnsi="仿宋" w:eastAsia="仿宋"/>
          <w:b/>
          <w:bCs/>
          <w:color w:val="000000"/>
        </w:rPr>
        <w:t>竞争性磋商委托</w:t>
      </w:r>
    </w:p>
    <w:p w14:paraId="368EDC0D">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3.1 如供应商代表不是供应商的法定代表人，须持有《授权委托书》。</w:t>
      </w:r>
    </w:p>
    <w:p w14:paraId="23FDD62B">
      <w:pPr>
        <w:snapToGrid w:val="0"/>
        <w:spacing w:before="156" w:line="360" w:lineRule="auto"/>
        <w:ind w:left="793" w:hanging="793" w:hangingChars="376"/>
        <w:rPr>
          <w:rFonts w:hint="eastAsia" w:ascii="仿宋" w:hAnsi="仿宋" w:eastAsia="仿宋"/>
          <w:b/>
          <w:color w:val="000000"/>
        </w:rPr>
      </w:pPr>
      <w:r>
        <w:rPr>
          <w:rFonts w:hint="eastAsia" w:ascii="仿宋" w:hAnsi="仿宋" w:eastAsia="仿宋"/>
          <w:b/>
          <w:color w:val="000000"/>
        </w:rPr>
        <w:t>二、竞争性磋商文件</w:t>
      </w:r>
    </w:p>
    <w:p w14:paraId="3EEB7824">
      <w:pPr>
        <w:snapToGrid w:val="0"/>
        <w:spacing w:before="156" w:line="360" w:lineRule="auto"/>
        <w:rPr>
          <w:rFonts w:hint="eastAsia" w:ascii="仿宋" w:hAnsi="仿宋" w:eastAsia="仿宋"/>
          <w:b/>
          <w:bCs/>
          <w:color w:val="000000"/>
        </w:rPr>
      </w:pPr>
      <w:r>
        <w:rPr>
          <w:rFonts w:hint="eastAsia" w:ascii="仿宋" w:hAnsi="仿宋" w:eastAsia="仿宋"/>
          <w:b/>
          <w:bCs/>
          <w:color w:val="000000"/>
        </w:rPr>
        <w:t>4．竞争性磋商文件的组成</w:t>
      </w:r>
    </w:p>
    <w:p w14:paraId="614A5A49">
      <w:pPr>
        <w:snapToGrid w:val="0"/>
        <w:spacing w:before="156" w:line="360" w:lineRule="auto"/>
        <w:ind w:firstLine="315" w:firstLineChars="150"/>
        <w:rPr>
          <w:rFonts w:hint="eastAsia" w:ascii="仿宋" w:hAnsi="仿宋" w:eastAsia="仿宋"/>
          <w:color w:val="000000"/>
        </w:rPr>
      </w:pPr>
      <w:r>
        <w:rPr>
          <w:rFonts w:hint="eastAsia" w:ascii="仿宋" w:hAnsi="仿宋" w:eastAsia="仿宋"/>
          <w:color w:val="000000"/>
        </w:rPr>
        <w:t xml:space="preserve"> 4.1 竞争性磋商文件由竞争性磋商文件及在竞争性磋商过程中发出的</w:t>
      </w:r>
      <w:r>
        <w:rPr>
          <w:rFonts w:hint="eastAsia" w:ascii="仿宋" w:hAnsi="仿宋" w:eastAsia="仿宋"/>
          <w:color w:val="000000"/>
          <w:kern w:val="0"/>
          <w:lang w:val="zh-CN"/>
        </w:rPr>
        <w:t>澄清或者</w:t>
      </w:r>
      <w:r>
        <w:rPr>
          <w:rFonts w:hint="eastAsia" w:ascii="仿宋" w:hAnsi="仿宋" w:eastAsia="仿宋"/>
          <w:color w:val="000000"/>
        </w:rPr>
        <w:t>修改文件组成。</w:t>
      </w:r>
    </w:p>
    <w:p w14:paraId="58E49916">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4.2供应商应仔细阅读</w:t>
      </w:r>
      <w:r>
        <w:rPr>
          <w:rFonts w:hint="eastAsia" w:ascii="仿宋" w:hAnsi="仿宋" w:eastAsia="仿宋"/>
          <w:bCs/>
          <w:color w:val="000000"/>
        </w:rPr>
        <w:t>竞争性磋商文件</w:t>
      </w:r>
      <w:r>
        <w:rPr>
          <w:rFonts w:hint="eastAsia" w:ascii="仿宋" w:hAnsi="仿宋" w:eastAsia="仿宋"/>
          <w:color w:val="000000"/>
        </w:rPr>
        <w:t>的全部内容，按照</w:t>
      </w:r>
      <w:r>
        <w:rPr>
          <w:rFonts w:hint="eastAsia" w:ascii="仿宋" w:hAnsi="仿宋" w:eastAsia="仿宋"/>
          <w:bCs/>
          <w:color w:val="000000"/>
        </w:rPr>
        <w:t>竞争性磋商文件</w:t>
      </w:r>
      <w:r>
        <w:rPr>
          <w:rFonts w:hint="eastAsia" w:ascii="仿宋" w:hAnsi="仿宋" w:eastAsia="仿宋"/>
          <w:color w:val="000000"/>
        </w:rPr>
        <w:t>要求编制竞争性磋商响应文件。任何对</w:t>
      </w:r>
      <w:r>
        <w:rPr>
          <w:rFonts w:hint="eastAsia" w:ascii="仿宋" w:hAnsi="仿宋" w:eastAsia="仿宋"/>
          <w:bCs/>
          <w:color w:val="000000"/>
        </w:rPr>
        <w:t>竞争性磋商文件</w:t>
      </w:r>
      <w:r>
        <w:rPr>
          <w:rFonts w:hint="eastAsia" w:ascii="仿宋" w:hAnsi="仿宋" w:eastAsia="仿宋"/>
          <w:color w:val="000000"/>
        </w:rPr>
        <w:t>的忽略或误解不能作为竞争性磋商响应文件存在缺陷或瑕疵的理由，其风险由供应商承担。</w:t>
      </w:r>
    </w:p>
    <w:p w14:paraId="0261D944">
      <w:pPr>
        <w:snapToGrid w:val="0"/>
        <w:spacing w:before="156" w:line="360" w:lineRule="auto"/>
        <w:rPr>
          <w:rFonts w:hint="eastAsia" w:ascii="仿宋" w:hAnsi="仿宋" w:eastAsia="仿宋"/>
          <w:b/>
          <w:color w:val="000000"/>
        </w:rPr>
      </w:pPr>
      <w:r>
        <w:rPr>
          <w:rFonts w:hint="eastAsia" w:ascii="仿宋" w:hAnsi="仿宋" w:eastAsia="仿宋"/>
          <w:b/>
          <w:color w:val="000000"/>
        </w:rPr>
        <w:t>5. 偏离</w:t>
      </w:r>
    </w:p>
    <w:p w14:paraId="14D3BE8A">
      <w:pPr>
        <w:widowControl/>
        <w:snapToGrid w:val="0"/>
        <w:spacing w:before="50" w:line="360" w:lineRule="auto"/>
        <w:ind w:right="97" w:rightChars="46" w:firstLine="420" w:firstLineChars="200"/>
        <w:rPr>
          <w:rFonts w:hint="eastAsia" w:ascii="仿宋" w:hAnsi="仿宋" w:eastAsia="仿宋"/>
          <w:bCs/>
          <w:color w:val="000000"/>
          <w:kern w:val="0"/>
        </w:rPr>
      </w:pPr>
      <w:r>
        <w:rPr>
          <w:rFonts w:hint="eastAsia" w:ascii="仿宋" w:hAnsi="仿宋" w:eastAsia="仿宋"/>
          <w:bCs/>
          <w:color w:val="000000"/>
          <w:kern w:val="0"/>
        </w:rPr>
        <w:t>5.1本条所称</w:t>
      </w:r>
      <w:r>
        <w:rPr>
          <w:rFonts w:hint="eastAsia" w:ascii="仿宋" w:hAnsi="仿宋" w:eastAsia="仿宋"/>
          <w:color w:val="000000"/>
          <w:kern w:val="0"/>
        </w:rPr>
        <w:t>偏离为竞争性磋商响应</w:t>
      </w:r>
      <w:r>
        <w:rPr>
          <w:rFonts w:hint="eastAsia" w:ascii="仿宋" w:hAnsi="仿宋" w:eastAsia="仿宋"/>
          <w:bCs/>
          <w:color w:val="000000"/>
          <w:kern w:val="0"/>
        </w:rPr>
        <w:t>文件</w:t>
      </w:r>
      <w:r>
        <w:rPr>
          <w:rFonts w:hint="eastAsia" w:ascii="仿宋" w:hAnsi="仿宋" w:eastAsia="仿宋"/>
          <w:color w:val="000000"/>
          <w:kern w:val="0"/>
        </w:rPr>
        <w:t>对</w:t>
      </w:r>
      <w:r>
        <w:rPr>
          <w:rFonts w:hint="eastAsia" w:ascii="仿宋" w:hAnsi="仿宋" w:eastAsia="仿宋"/>
          <w:bCs/>
          <w:color w:val="000000"/>
          <w:kern w:val="0"/>
        </w:rPr>
        <w:t>竞争性磋商文件</w:t>
      </w:r>
      <w:r>
        <w:rPr>
          <w:rFonts w:hint="eastAsia" w:ascii="仿宋" w:hAnsi="仿宋" w:eastAsia="仿宋"/>
          <w:color w:val="000000"/>
          <w:kern w:val="0"/>
        </w:rPr>
        <w:t>的偏离，即不满足、或不响应</w:t>
      </w:r>
      <w:r>
        <w:rPr>
          <w:rFonts w:hint="eastAsia" w:ascii="仿宋" w:hAnsi="仿宋" w:eastAsia="仿宋"/>
          <w:bCs/>
          <w:color w:val="000000"/>
          <w:kern w:val="0"/>
        </w:rPr>
        <w:t>竞争性磋商采购文件</w:t>
      </w:r>
      <w:r>
        <w:rPr>
          <w:rFonts w:hint="eastAsia" w:ascii="仿宋" w:hAnsi="仿宋" w:eastAsia="仿宋"/>
          <w:color w:val="000000"/>
          <w:kern w:val="0"/>
        </w:rPr>
        <w:t>的要求。偏离分为对</w:t>
      </w:r>
      <w:r>
        <w:rPr>
          <w:rFonts w:hint="eastAsia" w:ascii="仿宋" w:hAnsi="仿宋" w:eastAsia="仿宋"/>
          <w:bCs/>
          <w:color w:val="000000"/>
          <w:kern w:val="0"/>
        </w:rPr>
        <w:t>竞争性磋商文件</w:t>
      </w:r>
      <w:r>
        <w:rPr>
          <w:rFonts w:hint="eastAsia" w:ascii="仿宋" w:hAnsi="仿宋" w:eastAsia="仿宋"/>
          <w:color w:val="000000"/>
          <w:kern w:val="0"/>
        </w:rPr>
        <w:t>的实质性要求条款偏离和对</w:t>
      </w:r>
      <w:r>
        <w:rPr>
          <w:rFonts w:hint="eastAsia" w:ascii="仿宋" w:hAnsi="仿宋" w:eastAsia="仿宋"/>
          <w:bCs/>
          <w:color w:val="000000"/>
          <w:kern w:val="0"/>
        </w:rPr>
        <w:t>竞争性磋商文件</w:t>
      </w:r>
      <w:r>
        <w:rPr>
          <w:rFonts w:hint="eastAsia" w:ascii="仿宋" w:hAnsi="仿宋" w:eastAsia="仿宋"/>
          <w:color w:val="000000"/>
          <w:kern w:val="0"/>
        </w:rPr>
        <w:t>的一般商务和技术条款（参数）偏离。</w:t>
      </w:r>
    </w:p>
    <w:p w14:paraId="0F86F458">
      <w:pPr>
        <w:tabs>
          <w:tab w:val="left" w:pos="0"/>
        </w:tabs>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5.2</w:t>
      </w:r>
      <w:r>
        <w:rPr>
          <w:rFonts w:hint="eastAsia" w:ascii="仿宋" w:hAnsi="仿宋" w:eastAsia="仿宋"/>
          <w:bCs/>
          <w:color w:val="000000"/>
        </w:rPr>
        <w:t>竞争性磋商文件</w:t>
      </w:r>
      <w:r>
        <w:rPr>
          <w:rFonts w:hint="eastAsia" w:ascii="仿宋" w:hAnsi="仿宋" w:eastAsia="仿宋"/>
          <w:color w:val="000000"/>
        </w:rPr>
        <w:t>中标注“*”符号的条款为实质性要求条款（即重要条款），对其中任何一条的偏离(即不满足或不响应)，在评审时将其视为无效响应。</w:t>
      </w:r>
    </w:p>
    <w:p w14:paraId="556F85AA">
      <w:pPr>
        <w:snapToGrid w:val="0"/>
        <w:spacing w:before="156" w:line="360" w:lineRule="auto"/>
        <w:rPr>
          <w:rFonts w:hint="eastAsia" w:ascii="仿宋" w:hAnsi="仿宋" w:eastAsia="仿宋"/>
          <w:b/>
          <w:bCs/>
          <w:color w:val="000000"/>
        </w:rPr>
      </w:pPr>
      <w:r>
        <w:rPr>
          <w:rFonts w:hint="eastAsia" w:ascii="仿宋" w:hAnsi="仿宋" w:eastAsia="仿宋"/>
          <w:b/>
          <w:bCs/>
          <w:color w:val="000000"/>
        </w:rPr>
        <w:t>6. 竞争性磋商文件的澄清、修改</w:t>
      </w:r>
    </w:p>
    <w:p w14:paraId="3A7FAE39">
      <w:pPr>
        <w:snapToGrid w:val="0"/>
        <w:spacing w:before="50" w:line="360" w:lineRule="auto"/>
        <w:ind w:right="-105" w:rightChars="-50" w:firstLine="420" w:firstLineChars="200"/>
        <w:rPr>
          <w:rFonts w:hint="eastAsia" w:ascii="仿宋" w:hAnsi="仿宋" w:eastAsia="仿宋"/>
          <w:color w:val="000000"/>
        </w:rPr>
      </w:pPr>
      <w:r>
        <w:rPr>
          <w:rFonts w:hint="eastAsia" w:ascii="仿宋" w:hAnsi="仿宋" w:eastAsia="仿宋"/>
          <w:color w:val="000000"/>
        </w:rPr>
        <w:t>6.1代理机构或采购人</w:t>
      </w:r>
      <w:r>
        <w:rPr>
          <w:rFonts w:hint="eastAsia" w:ascii="仿宋" w:hAnsi="仿宋" w:eastAsia="仿宋"/>
          <w:color w:val="000000"/>
          <w:kern w:val="0"/>
          <w:lang w:val="zh-CN"/>
        </w:rPr>
        <w:t>对已发出的</w:t>
      </w:r>
      <w:r>
        <w:rPr>
          <w:rFonts w:hint="eastAsia" w:ascii="仿宋" w:hAnsi="仿宋" w:eastAsia="仿宋"/>
          <w:color w:val="000000"/>
        </w:rPr>
        <w:t>竞争性磋商文件进行必要澄清或者修改的，应在规定</w:t>
      </w:r>
      <w:r>
        <w:rPr>
          <w:rFonts w:hint="eastAsia" w:ascii="仿宋" w:hAnsi="仿宋" w:eastAsia="仿宋"/>
          <w:color w:val="000000"/>
          <w:kern w:val="0"/>
          <w:lang w:val="zh-CN"/>
        </w:rPr>
        <w:t>递交竞争性磋商</w:t>
      </w:r>
      <w:r>
        <w:rPr>
          <w:rFonts w:hint="eastAsia" w:ascii="仿宋" w:hAnsi="仿宋" w:eastAsia="仿宋"/>
          <w:color w:val="000000"/>
        </w:rPr>
        <w:t>响应</w:t>
      </w:r>
      <w:r>
        <w:rPr>
          <w:rFonts w:hint="eastAsia" w:ascii="仿宋" w:hAnsi="仿宋" w:eastAsia="仿宋"/>
          <w:color w:val="000000"/>
          <w:kern w:val="0"/>
          <w:lang w:val="zh-CN"/>
        </w:rPr>
        <w:t>文件截止时间</w:t>
      </w:r>
      <w:r>
        <w:rPr>
          <w:rFonts w:hint="eastAsia" w:ascii="仿宋" w:hAnsi="仿宋" w:eastAsia="仿宋"/>
          <w:color w:val="000000"/>
        </w:rPr>
        <w:t>前通知潜在参加竞争性磋商的供应商，采购人或代理机构不承担未及时关注的责任情形。澄清或修改的内容为竞争性磋商文件的组成部分。</w:t>
      </w:r>
    </w:p>
    <w:p w14:paraId="13B883C4">
      <w:pPr>
        <w:autoSpaceDE w:val="0"/>
        <w:autoSpaceDN w:val="0"/>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6.2 发出澄清或修改文件的日期距规定的</w:t>
      </w:r>
      <w:r>
        <w:rPr>
          <w:rFonts w:hint="eastAsia" w:ascii="仿宋" w:hAnsi="仿宋" w:eastAsia="仿宋"/>
          <w:color w:val="000000"/>
          <w:kern w:val="0"/>
          <w:lang w:val="zh-CN"/>
        </w:rPr>
        <w:t>递交竞争性磋商</w:t>
      </w:r>
      <w:r>
        <w:rPr>
          <w:rFonts w:hint="eastAsia" w:ascii="仿宋" w:hAnsi="仿宋" w:eastAsia="仿宋"/>
          <w:color w:val="000000"/>
        </w:rPr>
        <w:t>响应</w:t>
      </w:r>
      <w:r>
        <w:rPr>
          <w:rFonts w:hint="eastAsia" w:ascii="仿宋" w:hAnsi="仿宋" w:eastAsia="仿宋"/>
          <w:color w:val="000000"/>
          <w:kern w:val="0"/>
          <w:lang w:val="zh-CN"/>
        </w:rPr>
        <w:t>文件截止时间</w:t>
      </w:r>
      <w:r>
        <w:rPr>
          <w:rFonts w:hint="eastAsia" w:ascii="仿宋" w:hAnsi="仿宋" w:eastAsia="仿宋"/>
          <w:color w:val="000000"/>
        </w:rPr>
        <w:t>不足</w:t>
      </w:r>
      <w:r>
        <w:rPr>
          <w:rFonts w:hint="eastAsia" w:ascii="仿宋" w:hAnsi="仿宋" w:eastAsia="仿宋"/>
          <w:bCs/>
          <w:color w:val="000000"/>
        </w:rPr>
        <w:t>三个工作</w:t>
      </w:r>
      <w:r>
        <w:rPr>
          <w:rFonts w:hint="eastAsia" w:ascii="仿宋" w:hAnsi="仿宋" w:eastAsia="仿宋"/>
          <w:color w:val="000000"/>
        </w:rPr>
        <w:t>日的，应当顺延</w:t>
      </w:r>
      <w:r>
        <w:rPr>
          <w:rFonts w:hint="eastAsia" w:ascii="仿宋" w:hAnsi="仿宋" w:eastAsia="仿宋"/>
          <w:color w:val="000000"/>
          <w:kern w:val="0"/>
          <w:lang w:val="zh-CN"/>
        </w:rPr>
        <w:t>递交竞争性磋商</w:t>
      </w:r>
      <w:r>
        <w:rPr>
          <w:rFonts w:hint="eastAsia" w:ascii="仿宋" w:hAnsi="仿宋" w:eastAsia="仿宋"/>
          <w:color w:val="000000"/>
        </w:rPr>
        <w:t>响应</w:t>
      </w:r>
      <w:r>
        <w:rPr>
          <w:rFonts w:hint="eastAsia" w:ascii="仿宋" w:hAnsi="仿宋" w:eastAsia="仿宋"/>
          <w:color w:val="000000"/>
          <w:kern w:val="0"/>
          <w:lang w:val="zh-CN"/>
        </w:rPr>
        <w:t>文件截止时间</w:t>
      </w:r>
      <w:r>
        <w:rPr>
          <w:rFonts w:hint="eastAsia" w:ascii="仿宋" w:hAnsi="仿宋" w:eastAsia="仿宋"/>
          <w:color w:val="000000"/>
        </w:rPr>
        <w:t>。</w:t>
      </w:r>
    </w:p>
    <w:p w14:paraId="7CAA6E9B">
      <w:pPr>
        <w:snapToGrid w:val="0"/>
        <w:spacing w:before="156" w:line="360" w:lineRule="auto"/>
        <w:rPr>
          <w:rFonts w:hint="eastAsia" w:ascii="仿宋" w:hAnsi="仿宋" w:eastAsia="仿宋"/>
          <w:b/>
          <w:color w:val="000000"/>
        </w:rPr>
      </w:pPr>
      <w:r>
        <w:rPr>
          <w:rFonts w:hint="eastAsia" w:ascii="仿宋" w:hAnsi="仿宋" w:eastAsia="仿宋"/>
          <w:b/>
          <w:color w:val="000000"/>
        </w:rPr>
        <w:t>三、竞争性磋商响应文件</w:t>
      </w:r>
    </w:p>
    <w:p w14:paraId="492EF102">
      <w:pPr>
        <w:snapToGrid w:val="0"/>
        <w:spacing w:before="156" w:line="360" w:lineRule="auto"/>
        <w:rPr>
          <w:rFonts w:hint="eastAsia" w:ascii="仿宋" w:hAnsi="仿宋" w:eastAsia="仿宋"/>
          <w:b/>
          <w:bCs/>
          <w:color w:val="000000"/>
        </w:rPr>
      </w:pPr>
      <w:r>
        <w:rPr>
          <w:rFonts w:hint="eastAsia" w:ascii="仿宋" w:hAnsi="仿宋" w:eastAsia="仿宋"/>
          <w:b/>
          <w:bCs/>
          <w:color w:val="000000"/>
        </w:rPr>
        <w:t>7.一般要求</w:t>
      </w:r>
    </w:p>
    <w:p w14:paraId="5399A8E3">
      <w:pPr>
        <w:autoSpaceDE w:val="0"/>
        <w:autoSpaceDN w:val="0"/>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7.1 供应商应仔细阅读竞争性磋商文件的所有内容，按竞争性磋商文件的要求</w:t>
      </w:r>
      <w:r>
        <w:rPr>
          <w:rFonts w:hint="eastAsia" w:ascii="仿宋" w:hAnsi="仿宋" w:eastAsia="仿宋"/>
          <w:color w:val="000000"/>
          <w:kern w:val="0"/>
          <w:lang w:val="zh-CN"/>
        </w:rPr>
        <w:t>依法真实</w:t>
      </w:r>
      <w:r>
        <w:rPr>
          <w:rFonts w:hint="eastAsia" w:ascii="仿宋" w:hAnsi="仿宋" w:eastAsia="仿宋"/>
          <w:bCs/>
          <w:color w:val="000000"/>
        </w:rPr>
        <w:t>编制竞争性磋商</w:t>
      </w:r>
      <w:r>
        <w:rPr>
          <w:rFonts w:hint="eastAsia" w:ascii="仿宋" w:hAnsi="仿宋" w:eastAsia="仿宋"/>
          <w:color w:val="000000"/>
        </w:rPr>
        <w:t>响应</w:t>
      </w:r>
      <w:r>
        <w:rPr>
          <w:rFonts w:hint="eastAsia" w:ascii="仿宋" w:hAnsi="仿宋" w:eastAsia="仿宋"/>
          <w:bCs/>
          <w:color w:val="000000"/>
        </w:rPr>
        <w:t>文件，</w:t>
      </w:r>
      <w:r>
        <w:rPr>
          <w:rFonts w:hint="eastAsia" w:ascii="仿宋" w:hAnsi="仿宋" w:eastAsia="仿宋"/>
          <w:color w:val="000000"/>
          <w:kern w:val="0"/>
          <w:lang w:val="zh-CN"/>
        </w:rPr>
        <w:t>并对其递交的竞争性磋商</w:t>
      </w:r>
      <w:r>
        <w:rPr>
          <w:rFonts w:hint="eastAsia" w:ascii="仿宋" w:hAnsi="仿宋" w:eastAsia="仿宋"/>
          <w:color w:val="000000"/>
        </w:rPr>
        <w:t>响应</w:t>
      </w:r>
      <w:r>
        <w:rPr>
          <w:rFonts w:hint="eastAsia" w:ascii="仿宋" w:hAnsi="仿宋" w:eastAsia="仿宋"/>
          <w:color w:val="000000"/>
          <w:kern w:val="0"/>
          <w:lang w:val="zh-CN"/>
        </w:rPr>
        <w:t>文件承担法律责任。</w:t>
      </w:r>
    </w:p>
    <w:p w14:paraId="22FE9CB6">
      <w:pPr>
        <w:autoSpaceDE w:val="0"/>
        <w:autoSpaceDN w:val="0"/>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 xml:space="preserve">7.2 </w:t>
      </w:r>
      <w:r>
        <w:rPr>
          <w:rFonts w:hint="eastAsia" w:ascii="仿宋" w:hAnsi="仿宋" w:eastAsia="仿宋"/>
          <w:color w:val="000000"/>
        </w:rPr>
        <w:t>供应商提交的竞争性磋商响应文件及供应商与代理机构、磋商小组就有关竞争性磋商的所有来往函电均使用中文。供应商可以提交其它语言的资料，但有关响应内容应附中文注释，在有差异时以中文为准。</w:t>
      </w:r>
    </w:p>
    <w:p w14:paraId="1E931A61">
      <w:pPr>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 xml:space="preserve">7.3 </w:t>
      </w:r>
      <w:r>
        <w:rPr>
          <w:rFonts w:hint="eastAsia" w:ascii="仿宋" w:hAnsi="仿宋" w:eastAsia="仿宋"/>
          <w:color w:val="000000"/>
        </w:rPr>
        <w:t>计量单位应使用我国法定计量单位。</w:t>
      </w:r>
    </w:p>
    <w:p w14:paraId="128F4E19">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7.4  供应商应按竞争性磋商文件中提供的竞争性磋商响应文件格式填写。</w:t>
      </w:r>
    </w:p>
    <w:p w14:paraId="17ECCC8F">
      <w:pPr>
        <w:snapToGrid w:val="0"/>
        <w:spacing w:before="156" w:line="360" w:lineRule="auto"/>
        <w:rPr>
          <w:rFonts w:hint="eastAsia" w:ascii="仿宋" w:hAnsi="仿宋" w:eastAsia="仿宋"/>
          <w:b/>
          <w:bCs/>
          <w:color w:val="000000"/>
        </w:rPr>
      </w:pPr>
      <w:r>
        <w:rPr>
          <w:rFonts w:hint="eastAsia" w:ascii="仿宋" w:hAnsi="仿宋" w:eastAsia="仿宋"/>
          <w:b/>
          <w:bCs/>
          <w:color w:val="000000"/>
        </w:rPr>
        <w:t>8.</w:t>
      </w:r>
      <w:r>
        <w:rPr>
          <w:rFonts w:hint="eastAsia" w:ascii="仿宋" w:hAnsi="仿宋" w:eastAsia="仿宋"/>
          <w:b/>
          <w:color w:val="000000"/>
        </w:rPr>
        <w:t>竞争性磋商响应文件</w:t>
      </w:r>
      <w:r>
        <w:rPr>
          <w:rFonts w:hint="eastAsia" w:ascii="仿宋" w:hAnsi="仿宋" w:eastAsia="仿宋"/>
          <w:b/>
          <w:bCs/>
          <w:color w:val="000000"/>
        </w:rPr>
        <w:t>的组成</w:t>
      </w:r>
    </w:p>
    <w:p w14:paraId="284BF60C">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8.1 竞争性磋商响应文件包括下列内容：</w:t>
      </w:r>
    </w:p>
    <w:p w14:paraId="1392C394">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（1）竞争性磋商响应声明；</w:t>
      </w:r>
    </w:p>
    <w:p w14:paraId="737F8D52">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w:t>
      </w:r>
      <w:r>
        <w:rPr>
          <w:rFonts w:hint="eastAsia" w:ascii="仿宋" w:hAnsi="仿宋" w:eastAsia="仿宋"/>
          <w:color w:val="000000"/>
          <w:lang w:val="en-US" w:eastAsia="zh-CN"/>
        </w:rPr>
        <w:t>资格证明文件</w:t>
      </w:r>
      <w:r>
        <w:rPr>
          <w:rFonts w:hint="eastAsia" w:ascii="仿宋" w:hAnsi="仿宋" w:eastAsia="仿宋"/>
          <w:color w:val="000000"/>
        </w:rPr>
        <w:t>；</w:t>
      </w:r>
    </w:p>
    <w:p w14:paraId="5E862B91">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（3）</w:t>
      </w:r>
      <w:r>
        <w:rPr>
          <w:rFonts w:eastAsia="仿宋"/>
          <w:color w:val="000000"/>
        </w:rPr>
        <w:t>分项报价表</w:t>
      </w:r>
    </w:p>
    <w:p w14:paraId="46318A79">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（4）</w:t>
      </w:r>
      <w:r>
        <w:rPr>
          <w:rFonts w:eastAsia="仿宋"/>
          <w:color w:val="000000"/>
        </w:rPr>
        <w:t>拟任本项目负责人情况一览表</w:t>
      </w:r>
    </w:p>
    <w:p w14:paraId="1CC59943">
      <w:pPr>
        <w:snapToGrid w:val="0"/>
        <w:spacing w:before="156" w:line="360" w:lineRule="auto"/>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（5）本项目专业工种安排表</w:t>
      </w:r>
    </w:p>
    <w:p w14:paraId="69E7AA3A">
      <w:pPr>
        <w:snapToGrid w:val="0"/>
        <w:spacing w:before="156" w:line="360" w:lineRule="auto"/>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（6）为本项目拟配备的主要设备清单</w:t>
      </w:r>
    </w:p>
    <w:p w14:paraId="500AED95">
      <w:pPr>
        <w:snapToGrid w:val="0"/>
        <w:spacing w:before="156" w:line="360" w:lineRule="auto"/>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（7）技术偏离表（格式）</w:t>
      </w:r>
    </w:p>
    <w:p w14:paraId="0350BC82">
      <w:pPr>
        <w:snapToGrid w:val="0"/>
        <w:spacing w:before="156" w:line="360" w:lineRule="auto"/>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（8）商务条款偏离表</w:t>
      </w:r>
    </w:p>
    <w:p w14:paraId="080B2D48">
      <w:pPr>
        <w:snapToGrid w:val="0"/>
        <w:spacing w:before="156" w:line="360" w:lineRule="auto"/>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（9）供应商诚信履约承诺函</w:t>
      </w:r>
    </w:p>
    <w:p w14:paraId="479491EF">
      <w:pPr>
        <w:snapToGrid w:val="0"/>
        <w:spacing w:before="156" w:line="360" w:lineRule="auto"/>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（10）其他证明材料</w:t>
      </w:r>
    </w:p>
    <w:p w14:paraId="5C6921B4">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8.2 根据《中华人民共和国政府采购法》第四十二条的规定，供应商无论成交与否，其竞争性磋商响应文件不予退还。</w:t>
      </w:r>
    </w:p>
    <w:p w14:paraId="00CFF2CF">
      <w:pPr>
        <w:snapToGrid w:val="0"/>
        <w:spacing w:before="156" w:line="360" w:lineRule="auto"/>
        <w:rPr>
          <w:rFonts w:hint="eastAsia" w:ascii="仿宋" w:hAnsi="仿宋" w:eastAsia="仿宋"/>
          <w:b/>
          <w:bCs/>
          <w:color w:val="000000"/>
        </w:rPr>
      </w:pPr>
      <w:r>
        <w:rPr>
          <w:rFonts w:hint="eastAsia" w:ascii="仿宋" w:hAnsi="仿宋" w:eastAsia="仿宋"/>
          <w:b/>
          <w:bCs/>
          <w:color w:val="000000"/>
        </w:rPr>
        <w:t>9.报价</w:t>
      </w:r>
    </w:p>
    <w:p w14:paraId="16EC95D2">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9.1供应商应当根据竞争性磋商文件要求和范围，以</w:t>
      </w:r>
      <w:r>
        <w:rPr>
          <w:rFonts w:hint="eastAsia" w:ascii="仿宋" w:hAnsi="仿宋" w:eastAsia="仿宋"/>
          <w:bCs/>
          <w:color w:val="000000"/>
        </w:rPr>
        <w:t>人民币</w:t>
      </w:r>
      <w:r>
        <w:rPr>
          <w:rFonts w:hint="eastAsia" w:ascii="仿宋" w:hAnsi="仿宋" w:eastAsia="仿宋"/>
          <w:color w:val="000000"/>
        </w:rPr>
        <w:t>报价。</w:t>
      </w:r>
    </w:p>
    <w:p w14:paraId="289B427D">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9.2竞争性磋商响应文件中标明的价格在合同执行过程中是固定不变的，不得以任何理由予以变更。以可变动价格提交的报价将被认为是非实质响应采购要求而被拒绝。</w:t>
      </w:r>
    </w:p>
    <w:p w14:paraId="327172CF">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9.3除</w:t>
      </w:r>
      <w:r>
        <w:rPr>
          <w:rFonts w:hint="eastAsia" w:ascii="仿宋" w:hAnsi="仿宋" w:eastAsia="仿宋"/>
          <w:b/>
          <w:color w:val="000000"/>
        </w:rPr>
        <w:t>供应商须知前附表</w:t>
      </w:r>
      <w:r>
        <w:rPr>
          <w:rFonts w:hint="eastAsia" w:ascii="仿宋" w:hAnsi="仿宋" w:eastAsia="仿宋"/>
          <w:color w:val="000000"/>
        </w:rPr>
        <w:t>中另有规定外，本次采购不接受备选方案报价。本项规定接受备选方案的：</w:t>
      </w:r>
    </w:p>
    <w:p w14:paraId="760B4DDF">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（1）</w:t>
      </w:r>
      <w:r>
        <w:rPr>
          <w:rFonts w:hint="eastAsia" w:ascii="仿宋" w:hAnsi="仿宋" w:eastAsia="仿宋"/>
          <w:color w:val="000000"/>
          <w:kern w:val="0"/>
          <w:lang w:val="zh-CN"/>
        </w:rPr>
        <w:t>供应商</w:t>
      </w:r>
      <w:r>
        <w:rPr>
          <w:rFonts w:hint="eastAsia" w:ascii="仿宋" w:hAnsi="仿宋" w:eastAsia="仿宋"/>
          <w:color w:val="000000"/>
        </w:rPr>
        <w:t>在竞争性磋商响应文件中只能提交一个备选方案并注明主选方案，且备选方案的报价不得高于主选方案。</w:t>
      </w:r>
      <w:r>
        <w:rPr>
          <w:rFonts w:hint="eastAsia" w:ascii="仿宋" w:hAnsi="仿宋" w:eastAsia="仿宋"/>
          <w:bCs/>
          <w:color w:val="000000"/>
        </w:rPr>
        <w:t>如果</w:t>
      </w:r>
      <w:r>
        <w:rPr>
          <w:rFonts w:hint="eastAsia" w:ascii="仿宋" w:hAnsi="仿宋" w:eastAsia="仿宋"/>
          <w:color w:val="000000"/>
          <w:kern w:val="0"/>
          <w:lang w:val="zh-CN"/>
        </w:rPr>
        <w:t>供应商</w:t>
      </w:r>
      <w:r>
        <w:rPr>
          <w:rFonts w:hint="eastAsia" w:ascii="仿宋" w:hAnsi="仿宋" w:eastAsia="仿宋"/>
          <w:color w:val="000000"/>
        </w:rPr>
        <w:t>在竞争性磋商响应文件中提交两个以上备选方案或未注明何为主选方案，该竞争性磋商响应文件将被视为非</w:t>
      </w:r>
      <w:r>
        <w:rPr>
          <w:rFonts w:hint="eastAsia" w:ascii="仿宋" w:hAnsi="仿宋" w:eastAsia="仿宋"/>
          <w:bCs/>
          <w:color w:val="000000"/>
        </w:rPr>
        <w:t>实质性响应</w:t>
      </w:r>
      <w:r>
        <w:rPr>
          <w:rFonts w:hint="eastAsia" w:ascii="仿宋" w:hAnsi="仿宋" w:eastAsia="仿宋"/>
          <w:color w:val="000000"/>
        </w:rPr>
        <w:t>而被拒绝。</w:t>
      </w:r>
    </w:p>
    <w:p w14:paraId="1C5245B0">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（2）在评审时，磋商小组仅对主选方案进行评审。</w:t>
      </w:r>
    </w:p>
    <w:p w14:paraId="2E1FA3B5">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9.4采购项目预算见</w:t>
      </w:r>
      <w:r>
        <w:rPr>
          <w:rFonts w:hint="eastAsia" w:ascii="仿宋" w:hAnsi="仿宋" w:eastAsia="仿宋"/>
          <w:b/>
          <w:color w:val="000000"/>
        </w:rPr>
        <w:t>供应商须知前附表</w:t>
      </w:r>
      <w:r>
        <w:rPr>
          <w:rFonts w:hint="eastAsia" w:ascii="仿宋" w:hAnsi="仿宋" w:eastAsia="仿宋"/>
          <w:color w:val="000000"/>
        </w:rPr>
        <w:t>，</w:t>
      </w:r>
      <w:r>
        <w:rPr>
          <w:rFonts w:hint="eastAsia" w:ascii="仿宋" w:hAnsi="仿宋" w:eastAsia="仿宋"/>
          <w:color w:val="000000"/>
          <w:kern w:val="0"/>
          <w:lang w:val="zh-CN"/>
        </w:rPr>
        <w:t>供应商</w:t>
      </w:r>
      <w:r>
        <w:rPr>
          <w:rFonts w:hint="eastAsia" w:ascii="仿宋" w:hAnsi="仿宋" w:eastAsia="仿宋"/>
          <w:color w:val="000000"/>
        </w:rPr>
        <w:t>的报价不得超过采购项目预算。</w:t>
      </w:r>
    </w:p>
    <w:p w14:paraId="433C3A10">
      <w:pPr>
        <w:snapToGrid w:val="0"/>
        <w:spacing w:before="156" w:line="360" w:lineRule="auto"/>
        <w:rPr>
          <w:rFonts w:hint="eastAsia" w:ascii="仿宋" w:hAnsi="仿宋" w:eastAsia="仿宋"/>
          <w:b/>
          <w:bCs/>
          <w:color w:val="000000"/>
        </w:rPr>
      </w:pPr>
      <w:r>
        <w:rPr>
          <w:rFonts w:hint="eastAsia" w:ascii="仿宋" w:hAnsi="仿宋" w:eastAsia="仿宋"/>
          <w:b/>
          <w:bCs/>
          <w:color w:val="000000"/>
        </w:rPr>
        <w:t>10.供应商符合竞争性磋商文件规定的证明文件</w:t>
      </w:r>
    </w:p>
    <w:p w14:paraId="4763D8E7">
      <w:pPr>
        <w:snapToGrid w:val="0"/>
        <w:spacing w:before="156" w:line="360" w:lineRule="auto"/>
        <w:ind w:firstLine="420" w:firstLineChars="200"/>
        <w:rPr>
          <w:rFonts w:hint="eastAsia" w:ascii="仿宋" w:hAnsi="仿宋" w:eastAsia="仿宋"/>
          <w:color w:val="000000"/>
          <w:kern w:val="0"/>
          <w:lang w:val="zh-CN"/>
        </w:rPr>
      </w:pPr>
      <w:r>
        <w:rPr>
          <w:rFonts w:hint="eastAsia" w:ascii="仿宋" w:hAnsi="仿宋" w:eastAsia="仿宋"/>
          <w:color w:val="000000"/>
          <w:kern w:val="0"/>
          <w:lang w:val="zh-CN"/>
        </w:rPr>
        <w:t>10.1供应商应</w:t>
      </w:r>
      <w:r>
        <w:rPr>
          <w:rFonts w:hint="eastAsia" w:ascii="仿宋" w:hAnsi="仿宋" w:eastAsia="仿宋"/>
          <w:color w:val="000000"/>
        </w:rPr>
        <w:t>提供</w:t>
      </w:r>
      <w:r>
        <w:rPr>
          <w:rFonts w:hint="eastAsia" w:ascii="仿宋" w:hAnsi="仿宋" w:eastAsia="仿宋"/>
          <w:color w:val="000000"/>
          <w:kern w:val="0"/>
          <w:lang w:val="zh-CN"/>
        </w:rPr>
        <w:t>符合竞争性磋商文件</w:t>
      </w:r>
      <w:r>
        <w:rPr>
          <w:rFonts w:hint="eastAsia" w:ascii="仿宋" w:hAnsi="仿宋" w:eastAsia="仿宋"/>
          <w:color w:val="000000"/>
        </w:rPr>
        <w:t>规定的资格条件要求</w:t>
      </w:r>
      <w:r>
        <w:rPr>
          <w:rFonts w:hint="eastAsia" w:ascii="仿宋" w:hAnsi="仿宋" w:eastAsia="仿宋"/>
          <w:color w:val="000000"/>
          <w:kern w:val="0"/>
          <w:lang w:val="zh-CN"/>
        </w:rPr>
        <w:t>的证明材料。</w:t>
      </w:r>
    </w:p>
    <w:p w14:paraId="0417F9CC">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10.2除</w:t>
      </w:r>
      <w:r>
        <w:rPr>
          <w:rFonts w:hint="eastAsia" w:ascii="仿宋" w:hAnsi="仿宋" w:eastAsia="仿宋"/>
          <w:b/>
          <w:color w:val="000000"/>
        </w:rPr>
        <w:t>供应商须知前附表</w:t>
      </w:r>
      <w:r>
        <w:rPr>
          <w:rFonts w:hint="eastAsia" w:ascii="仿宋" w:hAnsi="仿宋" w:eastAsia="仿宋"/>
          <w:color w:val="000000"/>
        </w:rPr>
        <w:t>另有规定外，</w:t>
      </w:r>
      <w:r>
        <w:rPr>
          <w:rFonts w:hint="eastAsia" w:ascii="仿宋" w:hAnsi="仿宋" w:eastAsia="仿宋"/>
          <w:color w:val="000000"/>
          <w:kern w:val="0"/>
          <w:lang w:val="zh-CN"/>
        </w:rPr>
        <w:t>供应商</w:t>
      </w:r>
      <w:r>
        <w:rPr>
          <w:rFonts w:hint="eastAsia" w:ascii="仿宋" w:hAnsi="仿宋" w:eastAsia="仿宋"/>
          <w:color w:val="000000"/>
        </w:rPr>
        <w:t>提供的货物及服务不是</w:t>
      </w:r>
      <w:r>
        <w:rPr>
          <w:rFonts w:hint="eastAsia" w:ascii="仿宋" w:hAnsi="仿宋" w:eastAsia="仿宋"/>
          <w:color w:val="000000"/>
          <w:kern w:val="0"/>
          <w:lang w:val="zh-CN"/>
        </w:rPr>
        <w:t>供应商</w:t>
      </w:r>
      <w:r>
        <w:rPr>
          <w:rFonts w:hint="eastAsia" w:ascii="仿宋" w:hAnsi="仿宋" w:eastAsia="仿宋"/>
          <w:color w:val="000000"/>
        </w:rPr>
        <w:t>制造或拥有的,则应当提供经销或代理采购货物或为采购货物提供售后服务的证明文件。否则将视为非实质响应而被拒绝。</w:t>
      </w:r>
    </w:p>
    <w:p w14:paraId="0AF4BD34">
      <w:pPr>
        <w:snapToGrid w:val="0"/>
        <w:spacing w:before="156" w:line="360" w:lineRule="auto"/>
        <w:rPr>
          <w:rFonts w:hint="eastAsia" w:ascii="仿宋" w:hAnsi="仿宋" w:eastAsia="仿宋"/>
          <w:b/>
          <w:bCs/>
          <w:color w:val="000000"/>
        </w:rPr>
      </w:pPr>
      <w:r>
        <w:rPr>
          <w:rFonts w:hint="eastAsia" w:ascii="仿宋" w:hAnsi="仿宋" w:eastAsia="仿宋"/>
          <w:b/>
          <w:bCs/>
          <w:color w:val="000000"/>
        </w:rPr>
        <w:t>11.货物符合竞争性磋商文件规定的证明文件</w:t>
      </w:r>
    </w:p>
    <w:p w14:paraId="0AC6D65B">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11.1 供应商须提交证明其拟供货物及其服务符合竞争性磋商文件规定的响应性文件，作为竞争性磋商的一部分。</w:t>
      </w:r>
    </w:p>
    <w:p w14:paraId="7E0ADFFA">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11.2 证明货物及其服务与竞争性磋商文件要求一致的文件，可以是文字资料、图纸和数据，并须提供：</w:t>
      </w:r>
    </w:p>
    <w:p w14:paraId="23AEE019">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（1）货物主要性能和参数的详细说明；</w:t>
      </w:r>
    </w:p>
    <w:p w14:paraId="1B614F59">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（2）对照竞争性磋商文件技术规格，逐条说明所提供货物和服务对技术规格响应与偏离表，并申明技术规格条文的响应或偏离。对有具体参数要求的指标，</w:t>
      </w:r>
      <w:r>
        <w:rPr>
          <w:rFonts w:hint="eastAsia" w:ascii="仿宋" w:hAnsi="仿宋" w:eastAsia="仿宋"/>
          <w:bCs/>
          <w:color w:val="000000"/>
        </w:rPr>
        <w:t>供应商</w:t>
      </w:r>
      <w:r>
        <w:rPr>
          <w:rFonts w:hint="eastAsia" w:ascii="仿宋" w:hAnsi="仿宋" w:eastAsia="仿宋"/>
          <w:color w:val="000000"/>
        </w:rPr>
        <w:t>应提供具体参数值。</w:t>
      </w:r>
    </w:p>
    <w:p w14:paraId="3B59A183">
      <w:pPr>
        <w:snapToGrid w:val="0"/>
        <w:spacing w:before="156" w:line="360" w:lineRule="auto"/>
        <w:rPr>
          <w:rFonts w:hint="eastAsia" w:ascii="仿宋" w:hAnsi="仿宋" w:eastAsia="仿宋"/>
          <w:b/>
          <w:bCs/>
          <w:color w:val="000000"/>
        </w:rPr>
      </w:pPr>
      <w:r>
        <w:rPr>
          <w:rFonts w:hint="eastAsia" w:ascii="仿宋" w:hAnsi="仿宋" w:eastAsia="仿宋"/>
          <w:b/>
          <w:bCs/>
          <w:color w:val="000000"/>
        </w:rPr>
        <w:t>12.竞争性磋商</w:t>
      </w:r>
      <w:r>
        <w:rPr>
          <w:rFonts w:hint="eastAsia" w:ascii="仿宋" w:hAnsi="仿宋" w:eastAsia="仿宋"/>
          <w:b/>
          <w:color w:val="000000"/>
        </w:rPr>
        <w:t>响应文件有效期</w:t>
      </w:r>
    </w:p>
    <w:p w14:paraId="2818E866">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12.1竞争性磋商响应文件有效期见</w:t>
      </w:r>
      <w:r>
        <w:rPr>
          <w:rFonts w:hint="eastAsia" w:ascii="仿宋" w:hAnsi="仿宋" w:eastAsia="仿宋"/>
          <w:b/>
          <w:color w:val="000000"/>
        </w:rPr>
        <w:t>供应商须知前附表</w:t>
      </w:r>
      <w:r>
        <w:rPr>
          <w:rFonts w:hint="eastAsia" w:ascii="仿宋" w:hAnsi="仿宋" w:eastAsia="仿宋"/>
          <w:color w:val="000000"/>
        </w:rPr>
        <w:t>，在此期间竞争性磋商响应文件对供应商具有法律约束力，竞争性磋商响应文件有效期从规定的递交竞争性磋商响应文件截止时间之日起计算。竞争性磋商响应文件有效期不足的将被视为无效响应，并予以拒绝。</w:t>
      </w:r>
    </w:p>
    <w:p w14:paraId="763A10B4">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12.2特殊情况下，代理机构可于竞争性磋商响应文件有效期满之前要求供应商同意延长有效期，要求与答复均应为书面形式。供应商可以拒绝上述要求。对于同意该要求的供应商，既不要求也不允许其修改竞争性磋商响应文件。</w:t>
      </w:r>
    </w:p>
    <w:p w14:paraId="14E7BD38">
      <w:pPr>
        <w:widowControl/>
        <w:snapToGrid w:val="0"/>
        <w:spacing w:before="156" w:line="360" w:lineRule="auto"/>
        <w:jc w:val="left"/>
        <w:rPr>
          <w:rFonts w:hint="eastAsia" w:ascii="仿宋" w:hAnsi="仿宋" w:eastAsia="仿宋"/>
          <w:b/>
          <w:bCs/>
          <w:color w:val="000000"/>
          <w:kern w:val="0"/>
        </w:rPr>
      </w:pPr>
      <w:bookmarkStart w:id="10" w:name="_Hlk39664050"/>
      <w:bookmarkStart w:id="11" w:name="_Hlk38276022"/>
      <w:r>
        <w:rPr>
          <w:rFonts w:hint="eastAsia" w:ascii="仿宋" w:hAnsi="仿宋" w:eastAsia="仿宋"/>
          <w:b/>
          <w:bCs/>
          <w:color w:val="000000"/>
          <w:kern w:val="0"/>
        </w:rPr>
        <w:t>13.</w:t>
      </w:r>
      <w:r>
        <w:rPr>
          <w:rFonts w:hint="eastAsia" w:ascii="仿宋" w:hAnsi="仿宋" w:eastAsia="仿宋"/>
          <w:b/>
          <w:color w:val="000000"/>
        </w:rPr>
        <w:t>有下列情形之一的，视为投标人串通投标，其投标无效：</w:t>
      </w:r>
    </w:p>
    <w:bookmarkEnd w:id="10"/>
    <w:p w14:paraId="3E27FA3A">
      <w:pPr>
        <w:widowControl/>
        <w:snapToGrid w:val="0"/>
        <w:spacing w:before="156" w:line="360" w:lineRule="auto"/>
        <w:jc w:val="left"/>
        <w:rPr>
          <w:rFonts w:hint="eastAsia" w:ascii="仿宋" w:hAnsi="仿宋" w:eastAsia="仿宋"/>
          <w:color w:val="000000"/>
        </w:rPr>
      </w:pPr>
      <w:r>
        <w:rPr>
          <w:rFonts w:hint="eastAsia" w:ascii="仿宋" w:hAnsi="仿宋" w:eastAsia="仿宋"/>
          <w:color w:val="000000"/>
        </w:rPr>
        <w:t>　　13.1不同投标人的投标文件由同一单位或者个人编制；</w:t>
      </w:r>
    </w:p>
    <w:p w14:paraId="2E16D777">
      <w:pPr>
        <w:widowControl/>
        <w:snapToGrid w:val="0"/>
        <w:spacing w:before="156" w:line="360" w:lineRule="auto"/>
        <w:ind w:firstLine="210" w:firstLineChars="100"/>
        <w:jc w:val="left"/>
        <w:rPr>
          <w:rFonts w:hint="eastAsia" w:ascii="仿宋" w:hAnsi="仿宋" w:eastAsia="仿宋"/>
          <w:color w:val="000000"/>
        </w:rPr>
      </w:pPr>
      <w:r>
        <w:rPr>
          <w:rFonts w:hint="eastAsia" w:ascii="仿宋" w:hAnsi="仿宋" w:eastAsia="仿宋"/>
          <w:color w:val="000000"/>
        </w:rPr>
        <w:t>　13.2不同投标人委托同一单位或者个人办理投标事宜；</w:t>
      </w:r>
    </w:p>
    <w:p w14:paraId="6D5E0698">
      <w:pPr>
        <w:widowControl/>
        <w:snapToGrid w:val="0"/>
        <w:spacing w:before="156" w:line="360" w:lineRule="auto"/>
        <w:jc w:val="left"/>
        <w:rPr>
          <w:rFonts w:hint="eastAsia" w:ascii="仿宋" w:hAnsi="仿宋" w:eastAsia="仿宋"/>
          <w:color w:val="000000"/>
        </w:rPr>
      </w:pPr>
      <w:r>
        <w:rPr>
          <w:rFonts w:hint="eastAsia" w:ascii="仿宋" w:hAnsi="仿宋" w:eastAsia="仿宋"/>
          <w:color w:val="000000"/>
        </w:rPr>
        <w:t>　　13.3不同投标人的投标文件载明的项目管理成员或者联系人员为同一人；</w:t>
      </w:r>
    </w:p>
    <w:p w14:paraId="15A361A3">
      <w:pPr>
        <w:widowControl/>
        <w:snapToGrid w:val="0"/>
        <w:spacing w:before="156" w:line="360" w:lineRule="auto"/>
        <w:jc w:val="left"/>
        <w:rPr>
          <w:rFonts w:hint="eastAsia" w:ascii="仿宋" w:hAnsi="仿宋" w:eastAsia="仿宋"/>
          <w:color w:val="000000"/>
        </w:rPr>
      </w:pPr>
      <w:r>
        <w:rPr>
          <w:rFonts w:hint="eastAsia" w:ascii="仿宋" w:hAnsi="仿宋" w:eastAsia="仿宋"/>
          <w:color w:val="000000"/>
        </w:rPr>
        <w:t>　  13.4不同投标人的投标文件异常一致或者投标报价呈规律性差异；</w:t>
      </w:r>
    </w:p>
    <w:p w14:paraId="12501D32">
      <w:pPr>
        <w:widowControl/>
        <w:snapToGrid w:val="0"/>
        <w:spacing w:before="156" w:line="360" w:lineRule="auto"/>
        <w:jc w:val="left"/>
        <w:rPr>
          <w:rFonts w:hint="eastAsia" w:ascii="仿宋" w:hAnsi="仿宋" w:eastAsia="仿宋"/>
          <w:color w:val="000000"/>
        </w:rPr>
      </w:pPr>
      <w:r>
        <w:rPr>
          <w:rFonts w:hint="eastAsia" w:ascii="仿宋" w:hAnsi="仿宋" w:eastAsia="仿宋"/>
          <w:color w:val="000000"/>
        </w:rPr>
        <w:t>　　13.5不同投标人的投标文件相互混装；</w:t>
      </w:r>
    </w:p>
    <w:p w14:paraId="734DF961">
      <w:pPr>
        <w:snapToGrid w:val="0"/>
        <w:spacing w:before="156" w:line="360" w:lineRule="auto"/>
        <w:rPr>
          <w:rFonts w:hint="eastAsia" w:ascii="仿宋" w:hAnsi="仿宋" w:eastAsia="仿宋"/>
          <w:b/>
          <w:color w:val="000000"/>
        </w:rPr>
      </w:pPr>
      <w:r>
        <w:rPr>
          <w:rFonts w:hint="eastAsia" w:ascii="仿宋" w:hAnsi="仿宋" w:eastAsia="仿宋"/>
          <w:b/>
          <w:color w:val="000000"/>
        </w:rPr>
        <w:t>四、竞争性磋商响应文件的递交</w:t>
      </w:r>
    </w:p>
    <w:p w14:paraId="7AA31148">
      <w:pPr>
        <w:snapToGrid w:val="0"/>
        <w:spacing w:before="156" w:line="360" w:lineRule="auto"/>
        <w:rPr>
          <w:rFonts w:hint="eastAsia" w:ascii="仿宋" w:hAnsi="仿宋" w:eastAsia="仿宋"/>
          <w:b/>
          <w:bCs/>
          <w:color w:val="000000"/>
        </w:rPr>
      </w:pPr>
      <w:r>
        <w:rPr>
          <w:rFonts w:hint="eastAsia" w:ascii="仿宋" w:hAnsi="仿宋" w:eastAsia="仿宋"/>
          <w:b/>
          <w:bCs/>
          <w:color w:val="000000"/>
        </w:rPr>
        <w:t>14.</w:t>
      </w:r>
      <w:r>
        <w:rPr>
          <w:rFonts w:hint="eastAsia" w:ascii="仿宋" w:hAnsi="仿宋" w:eastAsia="仿宋"/>
          <w:b/>
          <w:color w:val="000000"/>
        </w:rPr>
        <w:t>竞争性磋商响应文件</w:t>
      </w:r>
      <w:r>
        <w:rPr>
          <w:rFonts w:hint="eastAsia" w:ascii="仿宋" w:hAnsi="仿宋" w:eastAsia="仿宋"/>
          <w:b/>
          <w:bCs/>
          <w:color w:val="000000"/>
        </w:rPr>
        <w:t>的修改和撤回</w:t>
      </w:r>
    </w:p>
    <w:p w14:paraId="0A6A1703">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14.1在响应文件开启前，潜在</w:t>
      </w:r>
      <w:r>
        <w:rPr>
          <w:rFonts w:hint="eastAsia" w:ascii="仿宋" w:hAnsi="仿宋" w:eastAsia="仿宋"/>
          <w:color w:val="000000"/>
          <w:kern w:val="0"/>
          <w:lang w:val="zh-CN"/>
        </w:rPr>
        <w:t>供应商</w:t>
      </w:r>
      <w:r>
        <w:rPr>
          <w:rFonts w:hint="eastAsia" w:ascii="仿宋" w:hAnsi="仿宋" w:eastAsia="仿宋"/>
          <w:color w:val="000000"/>
        </w:rPr>
        <w:t>对竞争性磋商文件有疑问且要求采购人澄清的，应于本投标须知前附表规定的时间前以书面形式告知采购人，采购人对竞争性磋商文件的修改或答疑回复将于本供应商须知前附表规定的时间以书面形式发出,</w:t>
      </w:r>
      <w:r>
        <w:rPr>
          <w:rFonts w:hint="eastAsia" w:ascii="仿宋" w:hAnsi="仿宋" w:eastAsia="仿宋"/>
          <w:color w:val="000000"/>
          <w:kern w:val="0"/>
          <w:lang w:val="zh-CN"/>
        </w:rPr>
        <w:t>供应商</w:t>
      </w:r>
      <w:r>
        <w:rPr>
          <w:rFonts w:hint="eastAsia" w:ascii="仿宋" w:hAnsi="仿宋" w:eastAsia="仿宋"/>
          <w:color w:val="000000"/>
        </w:rPr>
        <w:t>自行上网查阅，并须填写本竞争性磋商文件规定格式之回执，附在供应商竞争性磋商响应文件内。如无答疑回复，则不需填写回执。</w:t>
      </w:r>
    </w:p>
    <w:p w14:paraId="53A92349">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14.2为使供应商有合理的时间按补充文件准备竞争性磋商响应文件，采购人可能根据具体情况酌情延长</w:t>
      </w:r>
      <w:r>
        <w:rPr>
          <w:rFonts w:hint="eastAsia" w:ascii="仿宋" w:hAnsi="仿宋" w:eastAsia="仿宋"/>
          <w:color w:val="000000"/>
          <w:szCs w:val="22"/>
        </w:rPr>
        <w:t>响应文件提交</w:t>
      </w:r>
      <w:r>
        <w:rPr>
          <w:rFonts w:hint="eastAsia" w:ascii="仿宋" w:hAnsi="仿宋" w:eastAsia="仿宋"/>
          <w:color w:val="000000"/>
        </w:rPr>
        <w:t>截止日期。</w:t>
      </w:r>
    </w:p>
    <w:p w14:paraId="115146CF">
      <w:pPr>
        <w:snapToGrid w:val="0"/>
        <w:spacing w:before="156" w:line="360" w:lineRule="auto"/>
        <w:rPr>
          <w:rFonts w:hint="eastAsia" w:ascii="仿宋" w:hAnsi="仿宋" w:eastAsia="仿宋"/>
          <w:b/>
          <w:bCs/>
          <w:color w:val="000000"/>
        </w:rPr>
      </w:pPr>
      <w:r>
        <w:rPr>
          <w:rFonts w:hint="eastAsia" w:ascii="仿宋" w:hAnsi="仿宋" w:eastAsia="仿宋"/>
          <w:b/>
          <w:bCs/>
          <w:color w:val="000000"/>
        </w:rPr>
        <w:t>15.</w:t>
      </w:r>
      <w:r>
        <w:rPr>
          <w:rFonts w:hint="eastAsia" w:ascii="仿宋" w:hAnsi="仿宋" w:eastAsia="仿宋"/>
          <w:b/>
          <w:color w:val="000000"/>
        </w:rPr>
        <w:t>竞争性磋商响应文件</w:t>
      </w:r>
      <w:r>
        <w:rPr>
          <w:rFonts w:hint="eastAsia" w:ascii="仿宋" w:hAnsi="仿宋" w:eastAsia="仿宋"/>
          <w:b/>
          <w:bCs/>
          <w:color w:val="000000"/>
        </w:rPr>
        <w:t>的递交与接收</w:t>
      </w:r>
    </w:p>
    <w:p w14:paraId="227538D2">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15.1竞争性磋商响应文件应按竞争性磋商文件的要求与格式编写。</w:t>
      </w:r>
    </w:p>
    <w:p w14:paraId="3492D466">
      <w:pPr>
        <w:snapToGrid w:val="0"/>
        <w:spacing w:before="156" w:line="360" w:lineRule="auto"/>
        <w:ind w:left="630" w:leftChars="200" w:hanging="210" w:hangingChars="100"/>
        <w:rPr>
          <w:rFonts w:hint="eastAsia" w:ascii="仿宋" w:hAnsi="仿宋" w:eastAsia="仿宋"/>
          <w:color w:val="000000"/>
        </w:rPr>
      </w:pPr>
      <w:r>
        <w:rPr>
          <w:rFonts w:hint="eastAsia" w:ascii="仿宋" w:hAnsi="仿宋" w:eastAsia="仿宋"/>
          <w:color w:val="000000"/>
        </w:rPr>
        <w:t>15.2竞争性磋商响应文件因表达不清所引起的后果由供应商负责。</w:t>
      </w:r>
    </w:p>
    <w:p w14:paraId="4F02694F">
      <w:pPr>
        <w:snapToGrid w:val="0"/>
        <w:spacing w:before="156" w:line="360" w:lineRule="auto"/>
        <w:ind w:left="630" w:leftChars="200" w:hanging="210" w:hangingChars="100"/>
        <w:rPr>
          <w:rFonts w:hint="eastAsia" w:ascii="仿宋" w:hAnsi="仿宋" w:eastAsia="仿宋"/>
          <w:color w:val="000000"/>
        </w:rPr>
      </w:pPr>
      <w:r>
        <w:rPr>
          <w:rFonts w:hint="eastAsia" w:ascii="仿宋" w:hAnsi="仿宋" w:eastAsia="仿宋"/>
          <w:color w:val="000000"/>
        </w:rPr>
        <w:t>15.3供应商编制和提交竞争性磋商响应文件所需费用自理。</w:t>
      </w:r>
    </w:p>
    <w:p w14:paraId="51E8FC53">
      <w:pPr>
        <w:snapToGrid w:val="0"/>
        <w:spacing w:before="156" w:line="360" w:lineRule="auto"/>
        <w:ind w:left="632" w:hanging="632" w:hangingChars="300"/>
        <w:rPr>
          <w:rFonts w:hint="eastAsia" w:ascii="仿宋" w:hAnsi="仿宋" w:eastAsia="仿宋"/>
          <w:b/>
          <w:bCs/>
          <w:color w:val="000000"/>
        </w:rPr>
      </w:pPr>
      <w:r>
        <w:rPr>
          <w:rFonts w:hint="eastAsia" w:ascii="仿宋" w:hAnsi="仿宋" w:eastAsia="仿宋"/>
          <w:b/>
          <w:bCs/>
          <w:color w:val="000000"/>
        </w:rPr>
        <w:t>五、</w:t>
      </w:r>
      <w:r>
        <w:rPr>
          <w:rFonts w:hint="eastAsia" w:ascii="仿宋" w:hAnsi="仿宋" w:eastAsia="仿宋"/>
          <w:b/>
          <w:color w:val="000000"/>
        </w:rPr>
        <w:t>磋商小组和评审</w:t>
      </w:r>
    </w:p>
    <w:p w14:paraId="395B0244">
      <w:pPr>
        <w:snapToGrid w:val="0"/>
        <w:spacing w:before="156" w:line="360" w:lineRule="auto"/>
        <w:rPr>
          <w:rFonts w:hint="eastAsia" w:ascii="仿宋" w:hAnsi="仿宋" w:eastAsia="仿宋"/>
          <w:b/>
          <w:bCs/>
          <w:color w:val="000000"/>
        </w:rPr>
      </w:pPr>
      <w:r>
        <w:rPr>
          <w:rFonts w:hint="eastAsia" w:ascii="仿宋" w:hAnsi="仿宋" w:eastAsia="仿宋"/>
          <w:b/>
          <w:bCs/>
          <w:color w:val="000000"/>
        </w:rPr>
        <w:t>16.</w:t>
      </w:r>
      <w:r>
        <w:rPr>
          <w:rFonts w:hint="eastAsia" w:ascii="仿宋" w:hAnsi="仿宋" w:eastAsia="仿宋"/>
          <w:b/>
          <w:color w:val="000000"/>
        </w:rPr>
        <w:t>磋商小组</w:t>
      </w:r>
    </w:p>
    <w:p w14:paraId="50A98F3A">
      <w:pPr>
        <w:snapToGrid w:val="0"/>
        <w:spacing w:before="156" w:line="360" w:lineRule="auto"/>
        <w:ind w:firstLine="420" w:firstLineChars="200"/>
        <w:jc w:val="left"/>
        <w:rPr>
          <w:rFonts w:hint="eastAsia" w:ascii="仿宋" w:hAnsi="仿宋" w:eastAsia="仿宋"/>
          <w:bCs/>
          <w:color w:val="000000"/>
        </w:rPr>
      </w:pPr>
      <w:r>
        <w:rPr>
          <w:rFonts w:hint="eastAsia" w:ascii="仿宋" w:hAnsi="仿宋" w:eastAsia="仿宋"/>
          <w:bCs/>
          <w:color w:val="000000"/>
        </w:rPr>
        <w:t>16.1采购人或代理机构将根据采购项目的特点依法组建</w:t>
      </w:r>
      <w:r>
        <w:rPr>
          <w:rFonts w:hint="eastAsia" w:ascii="仿宋" w:hAnsi="仿宋" w:eastAsia="仿宋"/>
          <w:b/>
          <w:color w:val="000000"/>
        </w:rPr>
        <w:t>磋商小组</w:t>
      </w:r>
      <w:r>
        <w:rPr>
          <w:rFonts w:hint="eastAsia" w:ascii="仿宋" w:hAnsi="仿宋" w:eastAsia="仿宋"/>
          <w:bCs/>
          <w:color w:val="000000"/>
        </w:rPr>
        <w:t>，其成员由</w:t>
      </w:r>
      <w:r>
        <w:rPr>
          <w:rFonts w:hint="eastAsia" w:ascii="仿宋" w:hAnsi="仿宋" w:eastAsia="仿宋"/>
          <w:color w:val="000000"/>
        </w:rPr>
        <w:t>评审专家和采购人的代表组成。</w:t>
      </w:r>
      <w:r>
        <w:rPr>
          <w:rFonts w:hint="eastAsia" w:ascii="仿宋" w:hAnsi="仿宋" w:eastAsia="仿宋"/>
          <w:b/>
          <w:color w:val="000000"/>
        </w:rPr>
        <w:t>磋商小组</w:t>
      </w:r>
      <w:r>
        <w:rPr>
          <w:rFonts w:hint="eastAsia" w:ascii="仿宋" w:hAnsi="仿宋" w:eastAsia="仿宋"/>
          <w:color w:val="000000"/>
        </w:rPr>
        <w:t>负责对竞争性磋商响应文件进行审查、竞争性磋商、评价以及推荐成交</w:t>
      </w:r>
      <w:r>
        <w:rPr>
          <w:rFonts w:hint="eastAsia" w:ascii="仿宋" w:hAnsi="仿宋" w:eastAsia="仿宋"/>
          <w:color w:val="000000"/>
          <w:kern w:val="0"/>
          <w:lang w:val="zh-CN"/>
        </w:rPr>
        <w:t>供应商</w:t>
      </w:r>
      <w:r>
        <w:rPr>
          <w:rFonts w:hint="eastAsia" w:ascii="仿宋" w:hAnsi="仿宋" w:eastAsia="仿宋"/>
          <w:color w:val="000000"/>
        </w:rPr>
        <w:t>。</w:t>
      </w:r>
    </w:p>
    <w:p w14:paraId="254F1E50">
      <w:pPr>
        <w:snapToGrid w:val="0"/>
        <w:spacing w:before="156" w:line="360" w:lineRule="auto"/>
        <w:ind w:left="628" w:leftChars="1" w:hanging="626" w:hangingChars="297"/>
        <w:rPr>
          <w:rFonts w:hint="eastAsia" w:ascii="仿宋" w:hAnsi="仿宋" w:eastAsia="仿宋"/>
          <w:b/>
          <w:bCs/>
          <w:color w:val="000000"/>
        </w:rPr>
      </w:pPr>
      <w:r>
        <w:rPr>
          <w:rFonts w:hint="eastAsia" w:ascii="仿宋" w:hAnsi="仿宋" w:eastAsia="仿宋"/>
          <w:b/>
          <w:bCs/>
          <w:color w:val="000000"/>
        </w:rPr>
        <w:t>17. 资格</w:t>
      </w:r>
      <w:r>
        <w:rPr>
          <w:rFonts w:hint="eastAsia" w:ascii="仿宋" w:hAnsi="仿宋" w:eastAsia="仿宋"/>
          <w:b/>
          <w:color w:val="000000"/>
        </w:rPr>
        <w:t>核</w:t>
      </w:r>
      <w:r>
        <w:rPr>
          <w:rFonts w:hint="eastAsia" w:ascii="仿宋" w:hAnsi="仿宋" w:eastAsia="仿宋"/>
          <w:b/>
          <w:bCs/>
          <w:color w:val="000000"/>
        </w:rPr>
        <w:t>查</w:t>
      </w:r>
    </w:p>
    <w:p w14:paraId="206BA334">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 xml:space="preserve">17.1 </w:t>
      </w:r>
      <w:r>
        <w:rPr>
          <w:rFonts w:hint="eastAsia" w:ascii="仿宋" w:hAnsi="仿宋" w:eastAsia="仿宋"/>
          <w:b/>
          <w:color w:val="000000"/>
        </w:rPr>
        <w:t>磋商小组</w:t>
      </w:r>
      <w:r>
        <w:rPr>
          <w:rFonts w:hint="eastAsia" w:ascii="仿宋" w:hAnsi="仿宋" w:eastAsia="仿宋"/>
          <w:color w:val="000000"/>
        </w:rPr>
        <w:t>根据规定的</w:t>
      </w:r>
      <w:r>
        <w:rPr>
          <w:rFonts w:hint="eastAsia" w:ascii="仿宋" w:hAnsi="仿宋" w:eastAsia="仿宋"/>
          <w:color w:val="000000"/>
          <w:kern w:val="0"/>
          <w:lang w:val="zh-CN"/>
        </w:rPr>
        <w:t>供应商</w:t>
      </w:r>
      <w:r>
        <w:rPr>
          <w:rFonts w:hint="eastAsia" w:ascii="仿宋" w:hAnsi="仿宋" w:eastAsia="仿宋"/>
          <w:color w:val="000000"/>
        </w:rPr>
        <w:t>资格条件要求，对竞争性磋商响应文件进行资格核</w:t>
      </w:r>
      <w:r>
        <w:rPr>
          <w:rFonts w:hint="eastAsia" w:ascii="仿宋" w:hAnsi="仿宋" w:eastAsia="仿宋"/>
          <w:bCs/>
          <w:color w:val="000000"/>
        </w:rPr>
        <w:t>查</w:t>
      </w:r>
      <w:r>
        <w:rPr>
          <w:rFonts w:hint="eastAsia" w:ascii="仿宋" w:hAnsi="仿宋" w:eastAsia="仿宋"/>
          <w:color w:val="000000"/>
        </w:rPr>
        <w:t>。</w:t>
      </w:r>
      <w:r>
        <w:rPr>
          <w:rFonts w:hint="eastAsia" w:ascii="仿宋" w:hAnsi="仿宋" w:eastAsia="仿宋"/>
          <w:color w:val="000000"/>
          <w:kern w:val="0"/>
          <w:lang w:val="zh-CN"/>
        </w:rPr>
        <w:t>供应商</w:t>
      </w:r>
      <w:r>
        <w:rPr>
          <w:rFonts w:hint="eastAsia" w:ascii="仿宋" w:hAnsi="仿宋" w:eastAsia="仿宋"/>
          <w:color w:val="000000"/>
        </w:rPr>
        <w:t>不满足资格条件的，在评审时将其视为无效响应。</w:t>
      </w:r>
    </w:p>
    <w:p w14:paraId="3E53DF56">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17.2</w:t>
      </w:r>
      <w:r>
        <w:rPr>
          <w:rFonts w:hint="eastAsia" w:ascii="仿宋" w:hAnsi="仿宋" w:eastAsia="仿宋"/>
          <w:b/>
          <w:color w:val="000000"/>
        </w:rPr>
        <w:t>磋商小组</w:t>
      </w:r>
      <w:r>
        <w:rPr>
          <w:rFonts w:hint="eastAsia" w:ascii="仿宋" w:hAnsi="仿宋" w:eastAsia="仿宋"/>
          <w:color w:val="000000"/>
        </w:rPr>
        <w:t>可以要求</w:t>
      </w:r>
      <w:r>
        <w:rPr>
          <w:rFonts w:hint="eastAsia" w:ascii="仿宋" w:hAnsi="仿宋" w:eastAsia="仿宋"/>
          <w:color w:val="000000"/>
          <w:kern w:val="0"/>
          <w:lang w:val="zh-CN"/>
        </w:rPr>
        <w:t>供应商</w:t>
      </w:r>
      <w:r>
        <w:rPr>
          <w:rFonts w:hint="eastAsia" w:ascii="仿宋" w:hAnsi="仿宋" w:eastAsia="仿宋"/>
          <w:color w:val="000000"/>
        </w:rPr>
        <w:t>提交有关证明和证件的原件以便核验。</w:t>
      </w:r>
    </w:p>
    <w:p w14:paraId="7E5BE6BE">
      <w:pPr>
        <w:tabs>
          <w:tab w:val="left" w:pos="0"/>
        </w:tabs>
        <w:snapToGrid w:val="0"/>
        <w:spacing w:before="156" w:line="360" w:lineRule="auto"/>
        <w:rPr>
          <w:rFonts w:hint="eastAsia" w:ascii="仿宋" w:hAnsi="仿宋" w:eastAsia="仿宋"/>
          <w:b/>
          <w:color w:val="000000"/>
        </w:rPr>
      </w:pPr>
      <w:r>
        <w:rPr>
          <w:rFonts w:hint="eastAsia" w:ascii="仿宋" w:hAnsi="仿宋" w:eastAsia="仿宋"/>
          <w:b/>
          <w:color w:val="000000"/>
        </w:rPr>
        <w:t>18.竞争性磋商响应文件</w:t>
      </w:r>
      <w:r>
        <w:rPr>
          <w:rFonts w:hint="eastAsia" w:ascii="仿宋" w:hAnsi="仿宋" w:eastAsia="仿宋"/>
          <w:b/>
          <w:bCs/>
          <w:color w:val="000000"/>
        </w:rPr>
        <w:t>的符合性审查</w:t>
      </w:r>
    </w:p>
    <w:p w14:paraId="51032BF8">
      <w:pPr>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18.1</w:t>
      </w:r>
      <w:r>
        <w:rPr>
          <w:rFonts w:hint="eastAsia" w:ascii="仿宋" w:hAnsi="仿宋" w:eastAsia="仿宋"/>
          <w:b/>
          <w:color w:val="000000"/>
        </w:rPr>
        <w:t>磋商小组</w:t>
      </w:r>
      <w:r>
        <w:rPr>
          <w:rFonts w:hint="eastAsia" w:ascii="仿宋" w:hAnsi="仿宋" w:eastAsia="仿宋"/>
          <w:bCs/>
          <w:color w:val="000000"/>
        </w:rPr>
        <w:t>对</w:t>
      </w:r>
      <w:r>
        <w:rPr>
          <w:rFonts w:hint="eastAsia" w:ascii="仿宋" w:hAnsi="仿宋" w:eastAsia="仿宋"/>
          <w:color w:val="000000"/>
        </w:rPr>
        <w:t>竞争性磋商响应文件</w:t>
      </w:r>
      <w:r>
        <w:rPr>
          <w:rFonts w:hint="eastAsia" w:ascii="仿宋" w:hAnsi="仿宋" w:eastAsia="仿宋"/>
          <w:bCs/>
          <w:color w:val="000000"/>
        </w:rPr>
        <w:t>进行符合性审查，</w:t>
      </w:r>
      <w:r>
        <w:rPr>
          <w:rFonts w:hint="eastAsia" w:ascii="仿宋" w:hAnsi="仿宋" w:eastAsia="仿宋"/>
          <w:color w:val="000000"/>
        </w:rPr>
        <w:t>竞争性磋商响应文件</w:t>
      </w:r>
      <w:r>
        <w:rPr>
          <w:rFonts w:hint="eastAsia" w:ascii="仿宋" w:hAnsi="仿宋" w:eastAsia="仿宋"/>
          <w:bCs/>
          <w:color w:val="000000"/>
        </w:rPr>
        <w:t>有下列情况之一的视为无效响应：</w:t>
      </w:r>
    </w:p>
    <w:p w14:paraId="144F5B71">
      <w:pPr>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（1）</w:t>
      </w:r>
      <w:r>
        <w:rPr>
          <w:rFonts w:hint="eastAsia" w:ascii="仿宋" w:hAnsi="仿宋" w:eastAsia="仿宋"/>
          <w:color w:val="000000"/>
        </w:rPr>
        <w:t>未按照</w:t>
      </w:r>
      <w:r>
        <w:rPr>
          <w:rFonts w:hint="eastAsia" w:ascii="仿宋" w:hAnsi="仿宋" w:eastAsia="仿宋"/>
          <w:bCs/>
          <w:color w:val="000000"/>
        </w:rPr>
        <w:t>竞争性磋商文件</w:t>
      </w:r>
      <w:r>
        <w:rPr>
          <w:rFonts w:hint="eastAsia" w:ascii="仿宋" w:hAnsi="仿宋" w:eastAsia="仿宋"/>
          <w:color w:val="000000"/>
        </w:rPr>
        <w:t>规定要求签署、盖章的；</w:t>
      </w:r>
    </w:p>
    <w:p w14:paraId="2A084CBA">
      <w:pPr>
        <w:snapToGrid w:val="0"/>
        <w:spacing w:before="156" w:line="360" w:lineRule="auto"/>
        <w:ind w:right="-109" w:rightChars="-52" w:firstLine="420" w:firstLineChars="200"/>
        <w:rPr>
          <w:rFonts w:hint="eastAsia" w:ascii="仿宋" w:hAnsi="仿宋" w:eastAsia="仿宋"/>
          <w:color w:val="000000"/>
        </w:rPr>
      </w:pPr>
      <w:r>
        <w:rPr>
          <w:rFonts w:hint="eastAsia" w:ascii="仿宋" w:hAnsi="仿宋" w:eastAsia="仿宋"/>
          <w:color w:val="000000"/>
        </w:rPr>
        <w:t>（2）不满足</w:t>
      </w:r>
      <w:r>
        <w:rPr>
          <w:rFonts w:hint="eastAsia" w:ascii="仿宋" w:hAnsi="仿宋" w:eastAsia="仿宋"/>
          <w:bCs/>
          <w:color w:val="000000"/>
        </w:rPr>
        <w:t>磋商</w:t>
      </w:r>
      <w:r>
        <w:rPr>
          <w:rFonts w:hint="eastAsia" w:ascii="仿宋" w:hAnsi="仿宋" w:eastAsia="仿宋"/>
          <w:color w:val="000000"/>
        </w:rPr>
        <w:t>须知</w:t>
      </w:r>
      <w:r>
        <w:rPr>
          <w:rFonts w:hint="eastAsia" w:ascii="仿宋" w:hAnsi="仿宋" w:eastAsia="仿宋"/>
          <w:bCs/>
          <w:color w:val="000000"/>
        </w:rPr>
        <w:t>规定的</w:t>
      </w:r>
      <w:r>
        <w:rPr>
          <w:rFonts w:hint="eastAsia" w:ascii="仿宋" w:hAnsi="仿宋" w:eastAsia="仿宋"/>
          <w:color w:val="000000"/>
        </w:rPr>
        <w:t>实质性要求的；</w:t>
      </w:r>
    </w:p>
    <w:p w14:paraId="441DFBDB">
      <w:pPr>
        <w:snapToGrid w:val="0"/>
        <w:spacing w:before="156" w:line="360" w:lineRule="auto"/>
        <w:ind w:right="-109" w:rightChars="-52" w:firstLine="420" w:firstLineChars="200"/>
        <w:rPr>
          <w:rFonts w:hint="eastAsia" w:ascii="仿宋" w:hAnsi="仿宋" w:eastAsia="仿宋"/>
          <w:color w:val="000000"/>
        </w:rPr>
      </w:pPr>
      <w:r>
        <w:rPr>
          <w:rFonts w:hint="eastAsia" w:ascii="仿宋" w:hAnsi="仿宋" w:eastAsia="仿宋"/>
          <w:color w:val="000000"/>
        </w:rPr>
        <w:t>（3）报价超过采购项目预算的；</w:t>
      </w:r>
    </w:p>
    <w:p w14:paraId="38666D5A">
      <w:pPr>
        <w:snapToGrid w:val="0"/>
        <w:spacing w:before="156" w:line="360" w:lineRule="auto"/>
        <w:ind w:right="-109" w:rightChars="-52" w:firstLine="420" w:firstLineChars="200"/>
        <w:rPr>
          <w:rFonts w:hint="eastAsia" w:ascii="仿宋" w:hAnsi="仿宋" w:eastAsia="仿宋"/>
          <w:color w:val="000000"/>
        </w:rPr>
      </w:pPr>
      <w:r>
        <w:rPr>
          <w:rFonts w:hint="eastAsia" w:ascii="仿宋" w:hAnsi="仿宋" w:eastAsia="仿宋"/>
          <w:color w:val="000000"/>
        </w:rPr>
        <w:t>（4）同一</w:t>
      </w:r>
      <w:r>
        <w:rPr>
          <w:rFonts w:hint="eastAsia" w:ascii="仿宋" w:hAnsi="仿宋" w:eastAsia="仿宋"/>
          <w:color w:val="000000"/>
          <w:kern w:val="0"/>
          <w:lang w:val="zh-CN"/>
        </w:rPr>
        <w:t>供应商</w:t>
      </w:r>
      <w:r>
        <w:rPr>
          <w:rFonts w:hint="eastAsia" w:ascii="仿宋" w:hAnsi="仿宋" w:eastAsia="仿宋"/>
          <w:color w:val="000000"/>
        </w:rPr>
        <w:t>提交两个以上不同的竞争性磋商响应文件或者报价的，但</w:t>
      </w:r>
      <w:r>
        <w:rPr>
          <w:rFonts w:hint="eastAsia" w:ascii="仿宋" w:hAnsi="仿宋" w:eastAsia="仿宋"/>
          <w:bCs/>
          <w:color w:val="000000"/>
        </w:rPr>
        <w:t>竞争性磋商</w:t>
      </w:r>
      <w:r>
        <w:rPr>
          <w:rFonts w:hint="eastAsia" w:ascii="仿宋" w:hAnsi="仿宋" w:eastAsia="仿宋"/>
          <w:color w:val="000000"/>
        </w:rPr>
        <w:t>须知允许提交备选方案的除外；</w:t>
      </w:r>
    </w:p>
    <w:p w14:paraId="5875E3BF">
      <w:pPr>
        <w:snapToGrid w:val="0"/>
        <w:spacing w:before="156" w:line="360" w:lineRule="auto"/>
        <w:ind w:right="-109" w:rightChars="-52" w:firstLine="420" w:firstLineChars="200"/>
        <w:rPr>
          <w:rFonts w:hint="eastAsia" w:ascii="仿宋" w:hAnsi="仿宋" w:eastAsia="仿宋"/>
          <w:color w:val="000000"/>
        </w:rPr>
      </w:pPr>
      <w:r>
        <w:rPr>
          <w:rFonts w:hint="eastAsia" w:ascii="仿宋" w:hAnsi="仿宋" w:eastAsia="仿宋"/>
          <w:color w:val="000000"/>
        </w:rPr>
        <w:t>（5）竞争性磋商响应文件有效期不足的；</w:t>
      </w:r>
      <w:r>
        <w:rPr>
          <w:rFonts w:hint="eastAsia" w:ascii="仿宋" w:hAnsi="仿宋" w:eastAsia="仿宋"/>
          <w:color w:val="000000"/>
        </w:rPr>
        <w:tab/>
      </w:r>
    </w:p>
    <w:p w14:paraId="5CF48E35">
      <w:pPr>
        <w:snapToGrid w:val="0"/>
        <w:spacing w:before="156" w:line="360" w:lineRule="auto"/>
        <w:ind w:right="-109" w:rightChars="-52" w:firstLine="420" w:firstLineChars="200"/>
        <w:rPr>
          <w:rFonts w:hint="eastAsia" w:ascii="仿宋" w:hAnsi="仿宋" w:eastAsia="仿宋"/>
          <w:color w:val="000000"/>
        </w:rPr>
      </w:pPr>
      <w:r>
        <w:rPr>
          <w:rFonts w:hint="eastAsia" w:ascii="仿宋" w:hAnsi="仿宋" w:eastAsia="仿宋"/>
          <w:color w:val="000000"/>
        </w:rPr>
        <w:t>（6）不符合法律、法规和</w:t>
      </w:r>
      <w:r>
        <w:rPr>
          <w:rFonts w:hint="eastAsia" w:ascii="仿宋" w:hAnsi="仿宋" w:eastAsia="仿宋"/>
          <w:bCs/>
          <w:color w:val="000000"/>
        </w:rPr>
        <w:t>竞争性磋商文件</w:t>
      </w:r>
      <w:r>
        <w:rPr>
          <w:rFonts w:hint="eastAsia" w:ascii="仿宋" w:hAnsi="仿宋" w:eastAsia="仿宋"/>
          <w:color w:val="000000"/>
        </w:rPr>
        <w:t>规定的。</w:t>
      </w:r>
    </w:p>
    <w:p w14:paraId="722E7170">
      <w:pPr>
        <w:snapToGrid w:val="0"/>
        <w:spacing w:before="156" w:line="360" w:lineRule="auto"/>
        <w:ind w:firstLine="411" w:firstLineChars="196"/>
        <w:rPr>
          <w:rFonts w:hint="eastAsia" w:ascii="仿宋" w:hAnsi="仿宋" w:eastAsia="仿宋"/>
          <w:color w:val="000000"/>
        </w:rPr>
      </w:pPr>
      <w:r>
        <w:rPr>
          <w:rFonts w:hint="eastAsia" w:ascii="仿宋" w:hAnsi="仿宋" w:eastAsia="仿宋"/>
          <w:color w:val="000000"/>
        </w:rPr>
        <w:t>（7）</w:t>
      </w:r>
      <w:r>
        <w:rPr>
          <w:rFonts w:hint="eastAsia" w:ascii="仿宋" w:hAnsi="仿宋" w:eastAsia="仿宋"/>
          <w:bCs/>
          <w:color w:val="000000"/>
        </w:rPr>
        <w:t>未按竞争性磋商文件要求提交资格证明文件；</w:t>
      </w:r>
    </w:p>
    <w:p w14:paraId="397A1B30">
      <w:pPr>
        <w:snapToGrid w:val="0"/>
        <w:spacing w:before="156" w:line="360" w:lineRule="auto"/>
        <w:ind w:firstLine="516" w:firstLineChars="246"/>
        <w:rPr>
          <w:rFonts w:hint="eastAsia" w:ascii="仿宋" w:hAnsi="仿宋" w:eastAsia="仿宋"/>
          <w:color w:val="000000"/>
        </w:rPr>
      </w:pPr>
      <w:r>
        <w:rPr>
          <w:rFonts w:hint="eastAsia" w:ascii="仿宋" w:hAnsi="仿宋" w:eastAsia="仿宋"/>
          <w:color w:val="000000"/>
        </w:rPr>
        <w:t>(8)</w:t>
      </w:r>
      <w:r>
        <w:rPr>
          <w:rFonts w:hint="eastAsia" w:ascii="仿宋" w:hAnsi="仿宋" w:eastAsia="仿宋"/>
          <w:bCs/>
          <w:color w:val="000000"/>
        </w:rPr>
        <w:t>提供的资格证明文件不符合竞争性磋商文件要求或提供虚假资格证明文件的；</w:t>
      </w:r>
    </w:p>
    <w:p w14:paraId="03F6B99D">
      <w:pPr>
        <w:snapToGrid w:val="0"/>
        <w:spacing w:before="156" w:line="360" w:lineRule="auto"/>
        <w:ind w:firstLine="411" w:firstLineChars="196"/>
        <w:rPr>
          <w:rFonts w:hint="eastAsia" w:ascii="仿宋" w:hAnsi="仿宋" w:eastAsia="仿宋"/>
          <w:color w:val="000000"/>
        </w:rPr>
      </w:pPr>
      <w:r>
        <w:rPr>
          <w:rFonts w:hint="eastAsia" w:ascii="仿宋" w:hAnsi="仿宋" w:eastAsia="仿宋"/>
          <w:color w:val="000000"/>
        </w:rPr>
        <w:t>(9)</w:t>
      </w:r>
      <w:r>
        <w:rPr>
          <w:rFonts w:hint="eastAsia" w:ascii="仿宋" w:hAnsi="仿宋" w:eastAsia="仿宋"/>
          <w:bCs/>
          <w:color w:val="000000"/>
        </w:rPr>
        <w:t>资格证明文件未按竞争性磋商文件要求加盖供应商单位章、</w:t>
      </w:r>
      <w:r>
        <w:rPr>
          <w:rFonts w:hint="eastAsia" w:ascii="仿宋" w:hAnsi="仿宋" w:eastAsia="仿宋"/>
          <w:color w:val="000000"/>
        </w:rPr>
        <w:t>签字</w:t>
      </w:r>
      <w:r>
        <w:rPr>
          <w:rFonts w:hint="eastAsia" w:ascii="仿宋" w:hAnsi="仿宋" w:eastAsia="仿宋"/>
          <w:bCs/>
          <w:color w:val="000000"/>
        </w:rPr>
        <w:t>的；</w:t>
      </w:r>
    </w:p>
    <w:p w14:paraId="155788DD">
      <w:pPr>
        <w:snapToGrid w:val="0"/>
        <w:spacing w:before="156" w:line="360" w:lineRule="auto"/>
        <w:ind w:firstLine="411" w:firstLineChars="196"/>
        <w:rPr>
          <w:rFonts w:hint="eastAsia" w:ascii="仿宋" w:hAnsi="仿宋" w:eastAsia="仿宋"/>
          <w:color w:val="000000"/>
        </w:rPr>
      </w:pPr>
      <w:r>
        <w:rPr>
          <w:rFonts w:hint="eastAsia" w:ascii="仿宋" w:hAnsi="仿宋" w:eastAsia="仿宋"/>
          <w:color w:val="000000"/>
        </w:rPr>
        <w:t>(10)</w:t>
      </w:r>
      <w:r>
        <w:rPr>
          <w:rFonts w:hint="eastAsia" w:ascii="仿宋" w:hAnsi="仿宋" w:eastAsia="仿宋"/>
          <w:bCs/>
          <w:color w:val="000000"/>
        </w:rPr>
        <w:t>资格证明文件过了有效期的或未按有关规定年审合格的。</w:t>
      </w:r>
    </w:p>
    <w:p w14:paraId="4235F280">
      <w:pPr>
        <w:snapToGrid w:val="0"/>
        <w:spacing w:before="156" w:line="360" w:lineRule="auto"/>
        <w:rPr>
          <w:rFonts w:hint="eastAsia" w:ascii="仿宋" w:hAnsi="仿宋" w:eastAsia="仿宋"/>
          <w:b/>
          <w:bCs/>
          <w:color w:val="000000"/>
        </w:rPr>
      </w:pPr>
      <w:r>
        <w:rPr>
          <w:rFonts w:hint="eastAsia" w:ascii="仿宋" w:hAnsi="仿宋" w:eastAsia="仿宋"/>
          <w:b/>
          <w:bCs/>
          <w:color w:val="000000"/>
        </w:rPr>
        <w:t>19.</w:t>
      </w:r>
      <w:r>
        <w:rPr>
          <w:rFonts w:hint="eastAsia" w:ascii="仿宋" w:hAnsi="仿宋" w:eastAsia="仿宋"/>
          <w:b/>
          <w:color w:val="000000"/>
        </w:rPr>
        <w:t>竞争性磋商响应文件</w:t>
      </w:r>
      <w:r>
        <w:rPr>
          <w:rFonts w:hint="eastAsia" w:ascii="仿宋" w:hAnsi="仿宋" w:eastAsia="仿宋"/>
          <w:b/>
          <w:bCs/>
          <w:color w:val="000000"/>
        </w:rPr>
        <w:t>的澄清</w:t>
      </w:r>
    </w:p>
    <w:p w14:paraId="30C9993E">
      <w:pPr>
        <w:autoSpaceDE w:val="0"/>
        <w:autoSpaceDN w:val="0"/>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19.1</w:t>
      </w:r>
      <w:r>
        <w:rPr>
          <w:rFonts w:hint="eastAsia" w:ascii="仿宋" w:hAnsi="仿宋" w:eastAsia="仿宋"/>
          <w:b/>
          <w:color w:val="000000"/>
        </w:rPr>
        <w:t>磋商小组</w:t>
      </w:r>
      <w:r>
        <w:rPr>
          <w:rFonts w:hint="eastAsia" w:ascii="仿宋" w:hAnsi="仿宋" w:eastAsia="仿宋"/>
          <w:color w:val="000000"/>
          <w:kern w:val="0"/>
          <w:lang w:val="zh-CN"/>
        </w:rPr>
        <w:t>在对竞争性磋商响应文件的有效性、完整性和对</w:t>
      </w:r>
      <w:r>
        <w:rPr>
          <w:rFonts w:hint="eastAsia" w:ascii="仿宋" w:hAnsi="仿宋" w:eastAsia="仿宋"/>
          <w:bCs/>
          <w:color w:val="000000"/>
        </w:rPr>
        <w:t>竞争性磋商文件</w:t>
      </w:r>
      <w:r>
        <w:rPr>
          <w:rFonts w:hint="eastAsia" w:ascii="仿宋" w:hAnsi="仿宋" w:eastAsia="仿宋"/>
          <w:color w:val="000000"/>
          <w:kern w:val="0"/>
          <w:lang w:val="zh-CN"/>
        </w:rPr>
        <w:t>的响应程度进行审查时，可以要求供应商对竞争性磋商响应文件中含义不明</w:t>
      </w:r>
      <w:r>
        <w:rPr>
          <w:rFonts w:hint="eastAsia" w:ascii="仿宋" w:hAnsi="仿宋" w:eastAsia="仿宋"/>
          <w:bCs/>
          <w:color w:val="000000"/>
        </w:rPr>
        <w:t>确</w:t>
      </w:r>
      <w:r>
        <w:rPr>
          <w:rFonts w:hint="eastAsia" w:ascii="仿宋" w:hAnsi="仿宋" w:eastAsia="仿宋"/>
          <w:color w:val="000000"/>
          <w:kern w:val="0"/>
          <w:lang w:val="zh-CN"/>
        </w:rPr>
        <w:t>、同类问题表述不一致或者有明显文字和计算错误的内容等作出必要的澄清、说明或者纠正。该要求</w:t>
      </w:r>
      <w:r>
        <w:rPr>
          <w:rFonts w:hint="eastAsia" w:ascii="仿宋" w:hAnsi="仿宋" w:eastAsia="仿宋"/>
          <w:color w:val="000000"/>
        </w:rPr>
        <w:t>应当以</w:t>
      </w:r>
      <w:r>
        <w:rPr>
          <w:rFonts w:hint="eastAsia" w:ascii="仿宋" w:hAnsi="仿宋" w:eastAsia="仿宋"/>
          <w:color w:val="000000"/>
          <w:kern w:val="0"/>
          <w:lang w:val="zh-CN"/>
        </w:rPr>
        <w:t>书面形式作出。供应商的澄清、说明或者补正应当采用书面形式，由其</w:t>
      </w:r>
      <w:r>
        <w:rPr>
          <w:rFonts w:hint="eastAsia" w:ascii="仿宋" w:hAnsi="仿宋" w:eastAsia="仿宋"/>
          <w:color w:val="000000"/>
        </w:rPr>
        <w:t>法定代表人或授权委托人</w:t>
      </w:r>
      <w:r>
        <w:rPr>
          <w:rFonts w:hint="eastAsia" w:ascii="仿宋" w:hAnsi="仿宋" w:eastAsia="仿宋"/>
          <w:bCs/>
          <w:color w:val="000000"/>
        </w:rPr>
        <w:t>签字</w:t>
      </w:r>
      <w:r>
        <w:rPr>
          <w:rFonts w:hint="eastAsia" w:ascii="仿宋" w:hAnsi="仿宋" w:eastAsia="仿宋"/>
          <w:color w:val="000000"/>
          <w:kern w:val="0"/>
          <w:lang w:val="zh-CN"/>
        </w:rPr>
        <w:t>。供应商的澄清、说明或者更正不得超出</w:t>
      </w:r>
      <w:r>
        <w:rPr>
          <w:rFonts w:hint="eastAsia" w:ascii="仿宋" w:hAnsi="仿宋" w:eastAsia="仿宋"/>
          <w:bCs/>
          <w:color w:val="000000"/>
        </w:rPr>
        <w:t>竞争性磋商文件</w:t>
      </w:r>
      <w:r>
        <w:rPr>
          <w:rFonts w:hint="eastAsia" w:ascii="仿宋" w:hAnsi="仿宋" w:eastAsia="仿宋"/>
          <w:color w:val="000000"/>
          <w:kern w:val="0"/>
          <w:lang w:val="zh-CN"/>
        </w:rPr>
        <w:t>的范围或者改变竞争性磋商响应文件的实质性内容。</w:t>
      </w:r>
    </w:p>
    <w:p w14:paraId="75976D3F">
      <w:pPr>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19.2</w:t>
      </w:r>
      <w:r>
        <w:rPr>
          <w:rFonts w:hint="eastAsia" w:ascii="仿宋" w:hAnsi="仿宋" w:eastAsia="仿宋"/>
          <w:color w:val="000000"/>
          <w:kern w:val="0"/>
          <w:lang w:val="zh-CN"/>
        </w:rPr>
        <w:t>计算</w:t>
      </w:r>
      <w:r>
        <w:rPr>
          <w:rFonts w:hint="eastAsia" w:ascii="仿宋" w:hAnsi="仿宋" w:eastAsia="仿宋"/>
          <w:color w:val="000000"/>
        </w:rPr>
        <w:t>错误修正的原则：单价合计与总价有出入,以单价合计为准；大、小写有出入，以大写为准；竞争性磋商响应文件正本与副本有出入，以正本为准。按上述原则修正的竞争性磋商响应文件，对供应商起约束作用，供应商不接受修正的，其竞争性磋商响应文件将被拒绝。</w:t>
      </w:r>
    </w:p>
    <w:p w14:paraId="7BB3DDF4">
      <w:pPr>
        <w:tabs>
          <w:tab w:val="left" w:pos="0"/>
        </w:tabs>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19.3供应商应按</w:t>
      </w:r>
      <w:r>
        <w:rPr>
          <w:rFonts w:hint="eastAsia" w:ascii="仿宋" w:hAnsi="仿宋" w:eastAsia="仿宋"/>
          <w:b/>
          <w:color w:val="000000"/>
        </w:rPr>
        <w:t>磋商小组</w:t>
      </w:r>
      <w:r>
        <w:rPr>
          <w:rFonts w:hint="eastAsia" w:ascii="仿宋" w:hAnsi="仿宋" w:eastAsia="仿宋"/>
          <w:color w:val="000000"/>
        </w:rPr>
        <w:t>通知的时间、地点，指派专人进行</w:t>
      </w:r>
      <w:r>
        <w:rPr>
          <w:rFonts w:hint="eastAsia" w:ascii="仿宋" w:hAnsi="仿宋" w:eastAsia="仿宋"/>
          <w:color w:val="000000"/>
          <w:kern w:val="0"/>
          <w:lang w:val="zh-CN"/>
        </w:rPr>
        <w:t>澄清、说明或者补正</w:t>
      </w:r>
      <w:r>
        <w:rPr>
          <w:rFonts w:hint="eastAsia" w:ascii="仿宋" w:hAnsi="仿宋" w:eastAsia="仿宋"/>
          <w:color w:val="000000"/>
        </w:rPr>
        <w:t>。</w:t>
      </w:r>
    </w:p>
    <w:p w14:paraId="46F354A4">
      <w:pPr>
        <w:tabs>
          <w:tab w:val="left" w:pos="0"/>
        </w:tabs>
        <w:snapToGrid w:val="0"/>
        <w:spacing w:before="156" w:line="360" w:lineRule="auto"/>
        <w:rPr>
          <w:rFonts w:hint="eastAsia" w:ascii="仿宋" w:hAnsi="仿宋" w:eastAsia="仿宋"/>
          <w:b/>
          <w:bCs/>
          <w:color w:val="000000"/>
        </w:rPr>
      </w:pPr>
      <w:r>
        <w:rPr>
          <w:rFonts w:hint="eastAsia" w:ascii="仿宋" w:hAnsi="仿宋" w:eastAsia="仿宋"/>
          <w:b/>
          <w:bCs/>
          <w:color w:val="000000"/>
        </w:rPr>
        <w:t>20、</w:t>
      </w:r>
      <w:r>
        <w:rPr>
          <w:rFonts w:hint="eastAsia" w:ascii="仿宋" w:hAnsi="仿宋" w:eastAsia="仿宋"/>
          <w:color w:val="000000"/>
          <w:kern w:val="0"/>
        </w:rPr>
        <w:t>供应商有下列情形之一的,不得成为成交供应商:</w:t>
      </w:r>
    </w:p>
    <w:p w14:paraId="6899FA9D">
      <w:pPr>
        <w:tabs>
          <w:tab w:val="left" w:pos="0"/>
        </w:tabs>
        <w:snapToGrid w:val="0"/>
        <w:spacing w:before="156" w:line="360" w:lineRule="auto"/>
        <w:ind w:firstLine="420" w:firstLineChars="200"/>
        <w:rPr>
          <w:rFonts w:hint="eastAsia" w:ascii="仿宋" w:hAnsi="仿宋" w:eastAsia="仿宋"/>
          <w:color w:val="000000"/>
          <w:kern w:val="0"/>
        </w:rPr>
      </w:pPr>
      <w:r>
        <w:rPr>
          <w:rFonts w:hint="eastAsia" w:ascii="仿宋" w:hAnsi="仿宋" w:eastAsia="仿宋"/>
          <w:color w:val="000000"/>
          <w:kern w:val="0"/>
        </w:rPr>
        <w:t>（1）竞争性磋商响应文件中提供虚假材料或虚假承诺的；</w:t>
      </w:r>
    </w:p>
    <w:p w14:paraId="3E390388">
      <w:pPr>
        <w:tabs>
          <w:tab w:val="left" w:pos="0"/>
        </w:tabs>
        <w:snapToGrid w:val="0"/>
        <w:spacing w:before="156" w:line="360" w:lineRule="auto"/>
        <w:ind w:firstLine="420" w:firstLineChars="200"/>
        <w:rPr>
          <w:rFonts w:hint="eastAsia" w:ascii="仿宋" w:hAnsi="仿宋" w:eastAsia="仿宋"/>
          <w:color w:val="000000"/>
          <w:kern w:val="0"/>
        </w:rPr>
      </w:pPr>
      <w:r>
        <w:rPr>
          <w:rFonts w:hint="eastAsia" w:ascii="仿宋" w:hAnsi="仿宋" w:eastAsia="仿宋"/>
          <w:color w:val="000000"/>
          <w:kern w:val="0"/>
        </w:rPr>
        <w:t>（2）法律法规和竞争性磋商文件规定的其他情形的。</w:t>
      </w:r>
    </w:p>
    <w:p w14:paraId="10ED9BD8">
      <w:pPr>
        <w:snapToGrid w:val="0"/>
        <w:spacing w:before="156" w:line="360" w:lineRule="auto"/>
        <w:ind w:left="632" w:hanging="632" w:hangingChars="300"/>
        <w:rPr>
          <w:rFonts w:hint="eastAsia" w:ascii="仿宋" w:hAnsi="仿宋" w:eastAsia="仿宋"/>
          <w:b/>
          <w:color w:val="000000"/>
        </w:rPr>
      </w:pPr>
      <w:r>
        <w:rPr>
          <w:rFonts w:hint="eastAsia" w:ascii="仿宋" w:hAnsi="仿宋" w:eastAsia="仿宋"/>
          <w:b/>
          <w:color w:val="000000"/>
        </w:rPr>
        <w:t>21竞争性磋商终止</w:t>
      </w:r>
    </w:p>
    <w:p w14:paraId="51CA7E21">
      <w:pPr>
        <w:tabs>
          <w:tab w:val="left" w:pos="0"/>
        </w:tabs>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21.1 竞争性磋商磋商时，出现下列情况之一，本次竞争性磋商终止：</w:t>
      </w:r>
    </w:p>
    <w:p w14:paraId="6E4D1054">
      <w:pPr>
        <w:tabs>
          <w:tab w:val="left" w:pos="0"/>
        </w:tabs>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（1）出现影响采购公正的违法、违规行为的；</w:t>
      </w:r>
    </w:p>
    <w:p w14:paraId="3AF482D5">
      <w:pPr>
        <w:tabs>
          <w:tab w:val="left" w:pos="0"/>
        </w:tabs>
        <w:snapToGrid w:val="0"/>
        <w:spacing w:before="156" w:line="360" w:lineRule="auto"/>
        <w:ind w:firstLine="420" w:firstLineChars="200"/>
        <w:rPr>
          <w:rFonts w:hint="eastAsia" w:ascii="仿宋" w:hAnsi="仿宋" w:eastAsia="仿宋"/>
          <w:color w:val="000000"/>
          <w:kern w:val="0"/>
          <w:lang w:val="zh-CN"/>
        </w:rPr>
      </w:pPr>
      <w:r>
        <w:rPr>
          <w:rFonts w:hint="eastAsia" w:ascii="仿宋" w:hAnsi="仿宋" w:eastAsia="仿宋"/>
          <w:color w:val="000000"/>
          <w:kern w:val="0"/>
          <w:lang w:val="zh-CN"/>
        </w:rPr>
        <w:t>（2）投标供应商的报价均超过了</w:t>
      </w:r>
      <w:r>
        <w:rPr>
          <w:rFonts w:hint="eastAsia" w:ascii="仿宋" w:hAnsi="仿宋" w:eastAsia="仿宋"/>
          <w:color w:val="000000"/>
          <w:szCs w:val="22"/>
        </w:rPr>
        <w:t>采购预算，采购人</w:t>
      </w:r>
      <w:r>
        <w:rPr>
          <w:rFonts w:hint="eastAsia" w:ascii="仿宋" w:hAnsi="仿宋" w:eastAsia="仿宋"/>
          <w:color w:val="000000"/>
          <w:kern w:val="0"/>
          <w:lang w:val="zh-CN"/>
        </w:rPr>
        <w:t>不能支付的；</w:t>
      </w:r>
    </w:p>
    <w:p w14:paraId="37C7B185">
      <w:pPr>
        <w:tabs>
          <w:tab w:val="left" w:pos="0"/>
        </w:tabs>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（3）因重大变故，采购任务取消的。</w:t>
      </w:r>
    </w:p>
    <w:p w14:paraId="3162443B">
      <w:pPr>
        <w:tabs>
          <w:tab w:val="left" w:pos="0"/>
        </w:tabs>
        <w:snapToGrid w:val="0"/>
        <w:spacing w:before="156" w:line="360" w:lineRule="auto"/>
        <w:ind w:firstLine="420" w:firstLineChars="200"/>
        <w:rPr>
          <w:rFonts w:hint="eastAsia" w:ascii="仿宋" w:hAnsi="仿宋" w:eastAsia="仿宋"/>
          <w:bCs/>
          <w:color w:val="000000"/>
        </w:rPr>
      </w:pPr>
      <w:r>
        <w:rPr>
          <w:rFonts w:hint="eastAsia" w:ascii="仿宋" w:hAnsi="仿宋" w:eastAsia="仿宋"/>
          <w:bCs/>
          <w:color w:val="000000"/>
        </w:rPr>
        <w:t xml:space="preserve">22.2 </w:t>
      </w:r>
      <w:r>
        <w:rPr>
          <w:rFonts w:hint="eastAsia" w:ascii="仿宋" w:hAnsi="仿宋" w:eastAsia="仿宋"/>
          <w:b/>
          <w:color w:val="000000"/>
        </w:rPr>
        <w:t>磋商小组</w:t>
      </w:r>
      <w:r>
        <w:rPr>
          <w:rFonts w:hint="eastAsia" w:ascii="仿宋" w:hAnsi="仿宋" w:eastAsia="仿宋"/>
          <w:bCs/>
          <w:color w:val="000000"/>
        </w:rPr>
        <w:t>应将竞争性磋商终止理由通知所有参与竞争性磋商的供应商。</w:t>
      </w:r>
    </w:p>
    <w:p w14:paraId="7BD9A718">
      <w:pPr>
        <w:spacing w:line="400" w:lineRule="exact"/>
        <w:rPr>
          <w:rFonts w:hint="eastAsia" w:ascii="仿宋" w:hAnsi="仿宋" w:eastAsia="仿宋"/>
          <w:b/>
          <w:bCs/>
          <w:color w:val="000000"/>
        </w:rPr>
      </w:pPr>
      <w:r>
        <w:rPr>
          <w:rFonts w:hint="eastAsia" w:ascii="仿宋" w:hAnsi="仿宋" w:eastAsia="仿宋"/>
          <w:b/>
          <w:bCs/>
          <w:color w:val="000000"/>
        </w:rPr>
        <w:t>22. 保密要求</w:t>
      </w:r>
    </w:p>
    <w:p w14:paraId="75DD46B3">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22.1</w:t>
      </w:r>
      <w:r>
        <w:rPr>
          <w:rFonts w:hint="eastAsia" w:ascii="仿宋" w:hAnsi="仿宋" w:eastAsia="仿宋"/>
          <w:b/>
          <w:color w:val="000000"/>
        </w:rPr>
        <w:t>磋商小组</w:t>
      </w:r>
      <w:r>
        <w:rPr>
          <w:rFonts w:hint="eastAsia" w:ascii="仿宋" w:hAnsi="仿宋" w:eastAsia="仿宋"/>
          <w:color w:val="000000"/>
        </w:rPr>
        <w:t>以及与评审工作有关的人员对评审情况以及评审过程中获悉的国家秘密、商业秘密应当保密。</w:t>
      </w:r>
    </w:p>
    <w:p w14:paraId="0CD0D4FB">
      <w:pPr>
        <w:snapToGrid w:val="0"/>
        <w:spacing w:before="156" w:line="360" w:lineRule="auto"/>
        <w:rPr>
          <w:rFonts w:hint="eastAsia" w:ascii="仿宋" w:hAnsi="仿宋" w:eastAsia="仿宋"/>
          <w:b/>
          <w:color w:val="000000"/>
        </w:rPr>
      </w:pPr>
      <w:r>
        <w:rPr>
          <w:rFonts w:hint="eastAsia" w:ascii="仿宋" w:hAnsi="仿宋" w:eastAsia="仿宋"/>
          <w:b/>
          <w:color w:val="000000"/>
        </w:rPr>
        <w:t>六、成交结果信息公布与供应商质疑</w:t>
      </w:r>
    </w:p>
    <w:p w14:paraId="77D94DFF">
      <w:pPr>
        <w:snapToGrid w:val="0"/>
        <w:spacing w:before="156" w:line="360" w:lineRule="auto"/>
        <w:rPr>
          <w:rFonts w:hint="eastAsia" w:ascii="仿宋" w:hAnsi="仿宋" w:eastAsia="仿宋"/>
          <w:b/>
          <w:bCs/>
          <w:color w:val="000000"/>
        </w:rPr>
      </w:pPr>
      <w:r>
        <w:rPr>
          <w:rFonts w:hint="eastAsia" w:ascii="仿宋" w:hAnsi="仿宋" w:eastAsia="仿宋"/>
          <w:b/>
          <w:bCs/>
          <w:color w:val="000000"/>
        </w:rPr>
        <w:t>23.成交信息的公布</w:t>
      </w:r>
    </w:p>
    <w:p w14:paraId="3545B7D9">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23.1 竞争性磋商结束后，成交结果信息将在网上公布。</w:t>
      </w:r>
    </w:p>
    <w:p w14:paraId="418133B3">
      <w:pPr>
        <w:snapToGrid w:val="0"/>
        <w:spacing w:before="156" w:line="360" w:lineRule="auto"/>
        <w:rPr>
          <w:rFonts w:hint="eastAsia" w:ascii="仿宋" w:hAnsi="仿宋" w:eastAsia="仿宋"/>
          <w:b/>
          <w:bCs/>
          <w:color w:val="000000"/>
        </w:rPr>
      </w:pPr>
      <w:r>
        <w:rPr>
          <w:rFonts w:hint="eastAsia" w:ascii="仿宋" w:hAnsi="仿宋" w:eastAsia="仿宋"/>
          <w:b/>
          <w:bCs/>
          <w:color w:val="000000"/>
        </w:rPr>
        <w:t>24.询问及质疑</w:t>
      </w:r>
    </w:p>
    <w:p w14:paraId="16DB66EF">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24.1供应商对政府采购活动事项有疑问的，可以向采购人或采购代理机构提出询问采购人或采购代理机构将在三个工作日内作出答复。</w:t>
      </w:r>
    </w:p>
    <w:p w14:paraId="3385D1F0">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24.2供应商若认为竞争性</w:t>
      </w:r>
      <w:r>
        <w:rPr>
          <w:rFonts w:hint="eastAsia" w:ascii="仿宋" w:hAnsi="仿宋" w:eastAsia="仿宋"/>
          <w:color w:val="000000"/>
          <w:lang w:val="en-US" w:eastAsia="zh-CN"/>
        </w:rPr>
        <w:t>磋商</w:t>
      </w:r>
      <w:r>
        <w:rPr>
          <w:rFonts w:hint="eastAsia" w:ascii="仿宋" w:hAnsi="仿宋" w:eastAsia="仿宋"/>
          <w:color w:val="000000"/>
        </w:rPr>
        <w:t>采购文件、采购过程和成交结果使自己的权益受到损害，应当在下列时间向采购人或采购代理机构提出质疑：</w:t>
      </w:r>
    </w:p>
    <w:p w14:paraId="245C192D">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（1）关于竞争性</w:t>
      </w:r>
      <w:r>
        <w:rPr>
          <w:rFonts w:hint="eastAsia" w:ascii="仿宋" w:hAnsi="仿宋" w:eastAsia="仿宋"/>
          <w:color w:val="000000"/>
          <w:lang w:val="en-US" w:eastAsia="zh-CN"/>
        </w:rPr>
        <w:t>磋商</w:t>
      </w:r>
      <w:r>
        <w:rPr>
          <w:rFonts w:hint="eastAsia" w:ascii="仿宋" w:hAnsi="仿宋" w:eastAsia="仿宋"/>
          <w:color w:val="000000"/>
        </w:rPr>
        <w:t>文件的质疑，应在</w:t>
      </w:r>
      <w:r>
        <w:rPr>
          <w:rFonts w:hint="eastAsia" w:ascii="仿宋" w:hAnsi="仿宋" w:eastAsia="仿宋"/>
          <w:color w:val="000000"/>
          <w:kern w:val="0"/>
          <w:lang w:val="zh-CN"/>
        </w:rPr>
        <w:t>递交竞争性</w:t>
      </w:r>
      <w:r>
        <w:rPr>
          <w:rFonts w:hint="eastAsia" w:ascii="仿宋" w:hAnsi="仿宋" w:eastAsia="仿宋"/>
          <w:color w:val="000000"/>
          <w:kern w:val="0"/>
          <w:lang w:val="en-US" w:eastAsia="zh-CN"/>
        </w:rPr>
        <w:t>磋商</w:t>
      </w:r>
      <w:r>
        <w:rPr>
          <w:rFonts w:hint="eastAsia" w:ascii="仿宋" w:hAnsi="仿宋" w:eastAsia="仿宋"/>
          <w:color w:val="000000"/>
          <w:kern w:val="0"/>
          <w:lang w:val="zh-CN"/>
        </w:rPr>
        <w:t>响应文件截止时间前</w:t>
      </w:r>
      <w:r>
        <w:rPr>
          <w:rFonts w:hint="eastAsia" w:ascii="仿宋" w:hAnsi="仿宋" w:eastAsia="仿宋"/>
          <w:color w:val="000000"/>
        </w:rPr>
        <w:t>提出。</w:t>
      </w:r>
    </w:p>
    <w:p w14:paraId="61F304D2">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（2）关于采购过程的质疑，应在采购程序环节结束之日起七个工作日内提出。</w:t>
      </w:r>
    </w:p>
    <w:p w14:paraId="1AD4C494">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（3）关于成交结果的质疑，应在成交结果信息发布后七个工作日内提出。</w:t>
      </w:r>
    </w:p>
    <w:p w14:paraId="0B808239">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24.3 供应商可以提出质疑。</w:t>
      </w:r>
    </w:p>
    <w:p w14:paraId="5AA1112C">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24.4 质疑书应当包括下列内容：</w:t>
      </w:r>
    </w:p>
    <w:p w14:paraId="1D744C89">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（1）质疑供应商的名称、地址及有效联系方式；</w:t>
      </w:r>
    </w:p>
    <w:p w14:paraId="0C4C0058">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（2）质疑事项；</w:t>
      </w:r>
    </w:p>
    <w:p w14:paraId="481389DE">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（3）事实依据及相关证明材料；</w:t>
      </w:r>
    </w:p>
    <w:p w14:paraId="4D5B2323">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（4）相关请求及主张。</w:t>
      </w:r>
    </w:p>
    <w:p w14:paraId="44E3DF92">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24.5 质疑书应当由质疑供应商法定代表人或</w:t>
      </w:r>
      <w:r>
        <w:rPr>
          <w:rFonts w:hint="eastAsia" w:ascii="仿宋" w:hAnsi="仿宋" w:eastAsia="仿宋"/>
          <w:color w:val="000000"/>
          <w:szCs w:val="22"/>
        </w:rPr>
        <w:t>授权委托人</w:t>
      </w:r>
      <w:r>
        <w:rPr>
          <w:rFonts w:hint="eastAsia" w:ascii="仿宋" w:hAnsi="仿宋" w:eastAsia="仿宋"/>
          <w:color w:val="000000"/>
        </w:rPr>
        <w:t>签字并加盖公章，质疑书由</w:t>
      </w:r>
      <w:r>
        <w:rPr>
          <w:rFonts w:hint="eastAsia" w:ascii="仿宋" w:hAnsi="仿宋" w:eastAsia="仿宋"/>
          <w:color w:val="000000"/>
          <w:szCs w:val="22"/>
        </w:rPr>
        <w:t>授权委托人</w:t>
      </w:r>
      <w:r>
        <w:rPr>
          <w:rFonts w:hint="eastAsia" w:ascii="仿宋" w:hAnsi="仿宋" w:eastAsia="仿宋"/>
          <w:color w:val="000000"/>
        </w:rPr>
        <w:t>签字的应附法定代表人授权书。</w:t>
      </w:r>
    </w:p>
    <w:p w14:paraId="10D85986">
      <w:pPr>
        <w:snapToGrid w:val="0"/>
        <w:spacing w:before="156" w:line="360" w:lineRule="auto"/>
        <w:ind w:firstLine="420" w:firstLineChars="200"/>
        <w:jc w:val="left"/>
        <w:rPr>
          <w:rFonts w:hint="eastAsia" w:ascii="仿宋" w:hAnsi="仿宋" w:eastAsia="仿宋"/>
          <w:color w:val="000000"/>
        </w:rPr>
      </w:pPr>
      <w:r>
        <w:rPr>
          <w:rFonts w:hint="eastAsia" w:ascii="仿宋" w:hAnsi="仿宋" w:eastAsia="仿宋"/>
          <w:color w:val="000000"/>
        </w:rPr>
        <w:t xml:space="preserve">24.6 </w:t>
      </w:r>
      <w:r>
        <w:rPr>
          <w:rFonts w:hint="eastAsia" w:ascii="仿宋" w:hAnsi="仿宋" w:eastAsia="仿宋"/>
          <w:color w:val="000000"/>
          <w:szCs w:val="22"/>
        </w:rPr>
        <w:t>采购人</w:t>
      </w:r>
      <w:r>
        <w:rPr>
          <w:rFonts w:hint="eastAsia" w:ascii="仿宋" w:hAnsi="仿宋" w:eastAsia="仿宋"/>
          <w:color w:val="000000"/>
        </w:rPr>
        <w:t>或采购代理机构将在签收回执之日起七个工作日内作出答复。</w:t>
      </w:r>
    </w:p>
    <w:p w14:paraId="66BDB694">
      <w:pPr>
        <w:snapToGrid w:val="0"/>
        <w:spacing w:before="156" w:line="360" w:lineRule="auto"/>
        <w:rPr>
          <w:rFonts w:hint="eastAsia" w:ascii="仿宋" w:hAnsi="仿宋" w:eastAsia="仿宋"/>
          <w:b/>
          <w:bCs/>
          <w:color w:val="000000"/>
        </w:rPr>
      </w:pPr>
      <w:r>
        <w:rPr>
          <w:rFonts w:hint="eastAsia" w:ascii="仿宋" w:hAnsi="仿宋" w:eastAsia="仿宋"/>
          <w:b/>
          <w:bCs/>
          <w:color w:val="000000"/>
        </w:rPr>
        <w:t>25.成交通知</w:t>
      </w:r>
    </w:p>
    <w:p w14:paraId="4E3129FB">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25.1 成交供应商确定后，采购代理机构将以书面形式向成交供应商发出成交通知书。成交通知书对采购人和成交供应商具有同等法律效力。</w:t>
      </w:r>
    </w:p>
    <w:p w14:paraId="4E514946">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25.2 成交通知书是合同文件的组成部分。</w:t>
      </w:r>
    </w:p>
    <w:p w14:paraId="627C0F01">
      <w:pPr>
        <w:spacing w:line="360" w:lineRule="auto"/>
        <w:ind w:firstLine="420" w:firstLineChars="200"/>
        <w:rPr>
          <w:rFonts w:hint="eastAsia" w:ascii="仿宋" w:hAnsi="仿宋" w:eastAsia="仿宋"/>
          <w:color w:val="000000"/>
          <w:kern w:val="0"/>
        </w:rPr>
      </w:pPr>
      <w:r>
        <w:rPr>
          <w:rFonts w:hint="eastAsia" w:ascii="仿宋" w:hAnsi="仿宋" w:eastAsia="仿宋"/>
          <w:color w:val="000000"/>
          <w:kern w:val="0"/>
        </w:rPr>
        <w:t>25.3</w:t>
      </w:r>
      <w:r>
        <w:rPr>
          <w:rFonts w:hint="eastAsia" w:ascii="仿宋" w:hAnsi="仿宋" w:eastAsia="仿宋"/>
          <w:color w:val="000000"/>
        </w:rPr>
        <w:t>成交供应商在中标公告后五个工作日内，按照招标文件要求缴履约保证金。成交供应商未按规定提交履约保证金的，采购人有权取消其中标资格。依据项目实施过程中合同履约情况，全部退还或扣罚全部或部分合同履约金。</w:t>
      </w:r>
    </w:p>
    <w:p w14:paraId="58653680">
      <w:pPr>
        <w:snapToGrid w:val="0"/>
        <w:spacing w:before="156" w:line="360" w:lineRule="auto"/>
        <w:rPr>
          <w:rFonts w:hint="eastAsia" w:ascii="仿宋" w:hAnsi="仿宋" w:eastAsia="仿宋"/>
          <w:b/>
          <w:bCs/>
          <w:color w:val="000000"/>
        </w:rPr>
      </w:pPr>
      <w:r>
        <w:rPr>
          <w:rFonts w:hint="eastAsia" w:ascii="仿宋" w:hAnsi="仿宋" w:eastAsia="仿宋"/>
          <w:b/>
          <w:bCs/>
          <w:color w:val="000000"/>
        </w:rPr>
        <w:t>26.签订</w:t>
      </w:r>
      <w:r>
        <w:rPr>
          <w:rFonts w:hint="eastAsia" w:ascii="仿宋" w:hAnsi="仿宋" w:eastAsia="仿宋"/>
          <w:b/>
          <w:color w:val="000000"/>
        </w:rPr>
        <w:t>政府采购</w:t>
      </w:r>
      <w:r>
        <w:rPr>
          <w:rFonts w:hint="eastAsia" w:ascii="仿宋" w:hAnsi="仿宋" w:eastAsia="仿宋"/>
          <w:b/>
          <w:bCs/>
          <w:color w:val="000000"/>
        </w:rPr>
        <w:t>合同</w:t>
      </w:r>
    </w:p>
    <w:p w14:paraId="2BE66B2C">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26.1 竞争性磋商文件、成交供应商的竞争性磋商响应文件等均为签订政府采购合同的依据。</w:t>
      </w:r>
    </w:p>
    <w:p w14:paraId="0699647B">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26.2 成交供应商应当在成交通知书发出之日起十个工作日内与采购人签定政府采购合同。</w:t>
      </w:r>
    </w:p>
    <w:p w14:paraId="79F2A337">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26.3 成交供应商应当按照政府采购合同约定履行义务。成交供应商不得向他人转让成交项目，也不得将成交项目分包后分别向他人转让。</w:t>
      </w:r>
    </w:p>
    <w:p w14:paraId="38300103">
      <w:pPr>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26.4政府采购合同履行中，采购人需追加与合同标的相同的货物服务的，在不改变合同其他条款的前提下，可以与成交供应商协商签订补充合同，但所有补充合同的采购金额不得超过原合同采购金额的百分之十。</w:t>
      </w:r>
    </w:p>
    <w:p w14:paraId="330DDEF1">
      <w:pPr>
        <w:snapToGrid w:val="0"/>
        <w:spacing w:before="156" w:line="360" w:lineRule="auto"/>
        <w:rPr>
          <w:rFonts w:hint="eastAsia" w:ascii="仿宋" w:hAnsi="仿宋" w:eastAsia="仿宋"/>
          <w:b/>
          <w:color w:val="000000"/>
        </w:rPr>
      </w:pPr>
      <w:r>
        <w:rPr>
          <w:rFonts w:hint="eastAsia" w:ascii="仿宋" w:hAnsi="仿宋" w:eastAsia="仿宋"/>
          <w:b/>
          <w:color w:val="000000"/>
        </w:rPr>
        <w:t>七、责任承担</w:t>
      </w:r>
    </w:p>
    <w:p w14:paraId="6EF55B34">
      <w:pPr>
        <w:snapToGrid w:val="0"/>
        <w:spacing w:before="156" w:line="360" w:lineRule="auto"/>
        <w:ind w:firstLine="411" w:firstLineChars="196"/>
        <w:rPr>
          <w:rFonts w:hint="eastAsia" w:ascii="仿宋" w:hAnsi="仿宋" w:eastAsia="仿宋"/>
          <w:color w:val="000000"/>
        </w:rPr>
      </w:pPr>
      <w:r>
        <w:rPr>
          <w:rFonts w:hint="eastAsia" w:ascii="仿宋" w:hAnsi="仿宋" w:eastAsia="仿宋"/>
          <w:color w:val="000000"/>
        </w:rPr>
        <w:t>27.1在政府采购活动中，供应商需承担的相应责任及违规处理，按照《政府采购法》、《采购法实施条例》、《政府采购竞争性磋商采购方式管理暂行办法》（财库〔2014〕214号）的规定执行。</w:t>
      </w:r>
    </w:p>
    <w:p w14:paraId="6421CDFB">
      <w:pPr>
        <w:snapToGrid w:val="0"/>
        <w:spacing w:before="156" w:line="360" w:lineRule="auto"/>
        <w:jc w:val="left"/>
        <w:rPr>
          <w:rFonts w:hint="eastAsia" w:ascii="仿宋" w:hAnsi="仿宋" w:eastAsia="仿宋"/>
          <w:b/>
          <w:color w:val="000000"/>
        </w:rPr>
      </w:pPr>
      <w:r>
        <w:rPr>
          <w:rFonts w:hint="eastAsia" w:ascii="仿宋" w:hAnsi="仿宋" w:eastAsia="仿宋"/>
          <w:b/>
          <w:color w:val="000000"/>
        </w:rPr>
        <w:t>八、其他规定</w:t>
      </w:r>
    </w:p>
    <w:bookmarkEnd w:id="11"/>
    <w:p w14:paraId="1363F769">
      <w:pPr>
        <w:tabs>
          <w:tab w:val="left" w:pos="420"/>
          <w:tab w:val="left" w:pos="7560"/>
          <w:tab w:val="left" w:pos="7740"/>
          <w:tab w:val="left" w:pos="7920"/>
        </w:tabs>
        <w:snapToGrid w:val="0"/>
        <w:spacing w:before="156" w:line="360" w:lineRule="auto"/>
        <w:ind w:firstLine="420" w:firstLineChars="200"/>
        <w:rPr>
          <w:rFonts w:hint="eastAsia" w:ascii="仿宋" w:hAnsi="仿宋" w:eastAsia="仿宋"/>
          <w:color w:val="000000"/>
        </w:rPr>
      </w:pPr>
      <w:r>
        <w:rPr>
          <w:rFonts w:hint="eastAsia" w:ascii="仿宋" w:hAnsi="仿宋" w:eastAsia="仿宋"/>
          <w:color w:val="000000"/>
        </w:rPr>
        <w:t>28.1竞争性磋商文件的其他规定见</w:t>
      </w:r>
      <w:r>
        <w:rPr>
          <w:rFonts w:hint="eastAsia" w:ascii="仿宋" w:hAnsi="仿宋" w:eastAsia="仿宋"/>
          <w:b/>
          <w:color w:val="000000"/>
        </w:rPr>
        <w:t>供应商须知前附表</w:t>
      </w:r>
      <w:r>
        <w:rPr>
          <w:rFonts w:hint="eastAsia" w:ascii="仿宋" w:hAnsi="仿宋" w:eastAsia="仿宋"/>
          <w:color w:val="000000"/>
        </w:rPr>
        <w:t>。</w:t>
      </w:r>
    </w:p>
    <w:p w14:paraId="5716FC6E">
      <w:pPr>
        <w:pStyle w:val="4"/>
        <w:spacing w:line="500" w:lineRule="exact"/>
        <w:ind w:firstLine="0"/>
        <w:rPr>
          <w:rFonts w:hint="eastAsia" w:ascii="仿宋" w:hAnsi="仿宋" w:eastAsia="仿宋"/>
          <w:color w:val="000000"/>
          <w:sz w:val="28"/>
        </w:rPr>
      </w:pPr>
      <w:r>
        <w:rPr>
          <w:rFonts w:hint="eastAsia" w:ascii="仿宋" w:hAnsi="仿宋" w:eastAsia="仿宋"/>
          <w:color w:val="000000"/>
          <w:sz w:val="28"/>
        </w:rPr>
        <w:br w:type="page"/>
      </w:r>
      <w:r>
        <w:rPr>
          <w:rFonts w:hint="eastAsia" w:ascii="仿宋" w:hAnsi="仿宋" w:eastAsia="仿宋"/>
          <w:color w:val="000000"/>
          <w:sz w:val="28"/>
        </w:rPr>
        <w:t>第七章    响应文件格式</w:t>
      </w:r>
    </w:p>
    <w:p w14:paraId="3C63817C">
      <w:pPr>
        <w:pStyle w:val="5"/>
        <w:rPr>
          <w:rFonts w:hint="eastAsia" w:ascii="仿宋" w:hAnsi="仿宋" w:eastAsia="仿宋"/>
          <w:color w:val="000000"/>
        </w:rPr>
      </w:pPr>
      <w:r>
        <w:rPr>
          <w:rFonts w:hint="eastAsia" w:ascii="仿宋" w:hAnsi="仿宋" w:eastAsia="仿宋"/>
          <w:color w:val="000000"/>
        </w:rPr>
        <w:t>一、竞争性磋商响应声明</w:t>
      </w:r>
    </w:p>
    <w:p w14:paraId="0DC57EF0">
      <w:pPr>
        <w:jc w:val="center"/>
        <w:rPr>
          <w:rFonts w:hint="eastAsia" w:ascii="仿宋" w:hAnsi="仿宋" w:eastAsia="仿宋"/>
          <w:b/>
          <w:bCs/>
          <w:color w:val="000000"/>
          <w:sz w:val="32"/>
        </w:rPr>
      </w:pPr>
      <w:r>
        <w:rPr>
          <w:rFonts w:hint="eastAsia" w:ascii="仿宋" w:hAnsi="仿宋" w:eastAsia="仿宋"/>
          <w:b/>
          <w:bCs/>
          <w:color w:val="000000"/>
          <w:sz w:val="32"/>
        </w:rPr>
        <w:t>竞争性磋商响应声明</w:t>
      </w:r>
    </w:p>
    <w:p w14:paraId="4EBFF8E4">
      <w:pPr>
        <w:spacing w:line="276" w:lineRule="auto"/>
        <w:rPr>
          <w:rFonts w:hint="eastAsia" w:ascii="仿宋" w:hAnsi="仿宋" w:eastAsia="仿宋"/>
          <w:b/>
          <w:color w:val="000000"/>
          <w:sz w:val="24"/>
        </w:rPr>
      </w:pPr>
      <w:r>
        <w:rPr>
          <w:rFonts w:hint="eastAsia" w:ascii="仿宋" w:hAnsi="仿宋" w:eastAsia="仿宋"/>
          <w:b/>
          <w:color w:val="000000"/>
          <w:sz w:val="24"/>
        </w:rPr>
        <w:t>采购人：</w:t>
      </w:r>
    </w:p>
    <w:p w14:paraId="1A1127F2">
      <w:pPr>
        <w:spacing w:line="276" w:lineRule="auto"/>
        <w:rPr>
          <w:rFonts w:hint="eastAsia" w:ascii="仿宋" w:hAnsi="仿宋" w:eastAsia="仿宋"/>
          <w:b/>
          <w:color w:val="000000"/>
          <w:sz w:val="24"/>
        </w:rPr>
      </w:pPr>
      <w:r>
        <w:rPr>
          <w:rFonts w:hint="eastAsia" w:ascii="仿宋" w:hAnsi="仿宋" w:eastAsia="仿宋"/>
          <w:b/>
          <w:color w:val="000000"/>
          <w:sz w:val="24"/>
        </w:rPr>
        <w:t>采购代理机构：</w:t>
      </w:r>
    </w:p>
    <w:p w14:paraId="7913FB2A">
      <w:pPr>
        <w:numPr>
          <w:ilvl w:val="0"/>
          <w:numId w:val="4"/>
        </w:num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在研究了</w:t>
      </w:r>
      <w:r>
        <w:rPr>
          <w:rFonts w:hint="eastAsia" w:ascii="仿宋" w:hAnsi="仿宋" w:eastAsia="仿宋"/>
          <w:color w:val="000000"/>
          <w:sz w:val="24"/>
          <w:u w:val="single"/>
        </w:rPr>
        <w:t xml:space="preserve">   项目名称及编号（如为分包项目注明包号或标段号）  </w:t>
      </w:r>
      <w:r>
        <w:rPr>
          <w:rFonts w:hint="eastAsia" w:ascii="仿宋" w:hAnsi="仿宋" w:eastAsia="仿宋"/>
          <w:color w:val="000000"/>
          <w:sz w:val="24"/>
        </w:rPr>
        <w:t>采购文件（含补充文件）后，我们愿意按</w:t>
      </w:r>
      <w:r>
        <w:rPr>
          <w:rFonts w:hint="eastAsia" w:ascii="仿宋" w:hAnsi="仿宋" w:eastAsia="仿宋"/>
          <w:color w:val="000000"/>
          <w:sz w:val="24"/>
          <w:lang w:val="en-US" w:eastAsia="zh-CN"/>
        </w:rPr>
        <w:t>人名币</w:t>
      </w:r>
      <w:r>
        <w:rPr>
          <w:rFonts w:hint="eastAsia" w:ascii="仿宋" w:hAnsi="仿宋" w:eastAsia="仿宋"/>
          <w:sz w:val="24"/>
        </w:rPr>
        <w:t>（小写</w:t>
      </w:r>
      <w:r>
        <w:rPr>
          <w:rFonts w:hint="eastAsia" w:ascii="仿宋" w:hAnsi="仿宋" w:eastAsia="仿宋"/>
          <w:sz w:val="24"/>
          <w:u w:val="single"/>
        </w:rPr>
        <w:t>****</w:t>
      </w:r>
      <w:r>
        <w:rPr>
          <w:rFonts w:hint="eastAsia" w:ascii="仿宋" w:hAnsi="仿宋" w:eastAsia="仿宋"/>
          <w:sz w:val="24"/>
          <w:u w:val="single"/>
          <w:lang w:val="en-US" w:eastAsia="zh-CN"/>
        </w:rPr>
        <w:t>元</w:t>
      </w:r>
      <w:r>
        <w:rPr>
          <w:rFonts w:hint="eastAsia" w:ascii="仿宋" w:hAnsi="仿宋" w:eastAsia="仿宋"/>
          <w:sz w:val="24"/>
        </w:rPr>
        <w:t>）</w:t>
      </w:r>
      <w:r>
        <w:rPr>
          <w:rFonts w:hint="eastAsia" w:ascii="仿宋" w:hAnsi="仿宋" w:eastAsia="仿宋"/>
          <w:color w:val="000000"/>
          <w:sz w:val="24"/>
        </w:rPr>
        <w:t>的投标报价，遵照竞争性磋商文件（含补充文件）的要求承担本采购项目的实施，完成本次采购范围的全部工作内容。</w:t>
      </w:r>
    </w:p>
    <w:p w14:paraId="0B3DD10C">
      <w:pPr>
        <w:pStyle w:val="27"/>
        <w:shd w:val="clear" w:color="auto" w:fill="FFFFFF"/>
        <w:spacing w:line="460" w:lineRule="atLeast"/>
        <w:ind w:firstLine="480" w:firstLineChars="200"/>
        <w:jc w:val="both"/>
        <w:rPr>
          <w:rFonts w:hint="eastAsia" w:ascii="仿宋" w:hAnsi="仿宋" w:eastAsia="仿宋"/>
          <w:color w:val="000000"/>
          <w:sz w:val="24"/>
        </w:rPr>
      </w:pPr>
      <w:r>
        <w:rPr>
          <w:rFonts w:hint="eastAsia" w:ascii="仿宋" w:hAnsi="仿宋" w:eastAsia="仿宋"/>
          <w:color w:val="000000"/>
          <w:sz w:val="24"/>
        </w:rPr>
        <w:t>2、如果你单位接受我们的申请，</w:t>
      </w:r>
      <w:r>
        <w:rPr>
          <w:rFonts w:hint="eastAsia" w:ascii="仿宋" w:hAnsi="仿宋" w:eastAsia="仿宋"/>
          <w:color w:val="000000"/>
        </w:rPr>
        <w:t>我</w:t>
      </w:r>
      <w:r>
        <w:rPr>
          <w:rFonts w:hint="eastAsia" w:ascii="仿宋" w:hAnsi="仿宋" w:eastAsia="仿宋"/>
          <w:color w:val="000000"/>
          <w:sz w:val="24"/>
        </w:rPr>
        <w:t>们将保证在</w:t>
      </w:r>
      <w:r>
        <w:rPr>
          <w:rFonts w:hint="eastAsia" w:ascii="仿宋" w:hAnsi="仿宋" w:eastAsia="仿宋"/>
          <w:color w:val="000000"/>
          <w:kern w:val="2"/>
          <w:sz w:val="24"/>
          <w:szCs w:val="21"/>
          <w:u w:val="single"/>
          <w:lang w:val="en-US" w:eastAsia="zh-CN" w:bidi="ar-SA"/>
        </w:rPr>
        <w:t xml:space="preserve">     </w:t>
      </w:r>
      <w:r>
        <w:rPr>
          <w:rFonts w:hint="eastAsia" w:ascii="仿宋" w:hAnsi="仿宋" w:eastAsia="仿宋"/>
          <w:color w:val="000000"/>
          <w:sz w:val="24"/>
        </w:rPr>
        <w:t>的服务期内完成本采购项目的全部工作内容，并达到竞争性磋商文件规定的要求。</w:t>
      </w:r>
    </w:p>
    <w:p w14:paraId="283BC3F3">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3、我们同意从规定的响应文件开启之日起90个日历天的磋商有效期内严格遵守响应文件的各项承诺。在此期限届满之前，本响应文件始终将对我方具有约束力，并随时接受成交。</w:t>
      </w:r>
    </w:p>
    <w:p w14:paraId="0241541A">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4、在合同书正式签署生效之前，本响应文件连同贵单位签发的成交通知书将构成我们双方之间共同遵守的文件，对双方具有约束力。</w:t>
      </w:r>
    </w:p>
    <w:p w14:paraId="15FC74C8">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5、我们理解你单位不负担我们的任何磋商费用。</w:t>
      </w:r>
    </w:p>
    <w:p w14:paraId="68565569">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6、我方承诺，与对本次磋商项目进行设计、编制规范和其他文件的单位或其附属机构均无关联。我方不是采购方的附属机构。</w:t>
      </w:r>
    </w:p>
    <w:p w14:paraId="2FD29B0C">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7、我们完全接受磋商标文件的规定。如有违反，你单位有权撤消我单位成交资格，另选成交单位。</w:t>
      </w:r>
    </w:p>
    <w:p w14:paraId="31150012">
      <w:pPr>
        <w:snapToGrid w:val="0"/>
        <w:spacing w:line="360" w:lineRule="auto"/>
        <w:rPr>
          <w:rFonts w:hint="eastAsia" w:ascii="仿宋" w:hAnsi="仿宋" w:eastAsia="仿宋"/>
          <w:color w:val="000000"/>
        </w:rPr>
      </w:pPr>
    </w:p>
    <w:p w14:paraId="35E6EFA4">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供应商：(盖单位公章)</w:t>
      </w:r>
    </w:p>
    <w:p w14:paraId="25C7B85D">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单位地址及邮政编码：</w:t>
      </w:r>
    </w:p>
    <w:p w14:paraId="1D41F213">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法定代表人（签字或盖章）：</w:t>
      </w:r>
    </w:p>
    <w:p w14:paraId="100E6E93">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联系电话（传真）：  </w:t>
      </w:r>
    </w:p>
    <w:p w14:paraId="4926A611">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开户银行名称：                      </w:t>
      </w:r>
    </w:p>
    <w:p w14:paraId="64927CE6">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开户银行账号（基本账户）： </w:t>
      </w:r>
    </w:p>
    <w:p w14:paraId="2AEA714E">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开户银行地址：</w:t>
      </w:r>
    </w:p>
    <w:p w14:paraId="46E2A544">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开户银行电话：</w:t>
      </w:r>
    </w:p>
    <w:p w14:paraId="0C8AD082">
      <w:pPr>
        <w:spacing w:line="276" w:lineRule="auto"/>
        <w:ind w:firstLine="480" w:firstLineChars="200"/>
        <w:rPr>
          <w:rFonts w:hint="eastAsia" w:ascii="仿宋" w:hAnsi="仿宋" w:eastAsia="仿宋"/>
          <w:color w:val="000000"/>
          <w:sz w:val="24"/>
        </w:rPr>
      </w:pPr>
      <w:r>
        <w:rPr>
          <w:rFonts w:hint="eastAsia" w:ascii="仿宋" w:hAnsi="仿宋" w:eastAsia="仿宋"/>
          <w:color w:val="000000"/>
          <w:sz w:val="24"/>
        </w:rPr>
        <w:t xml:space="preserve">                                                          年    月    日</w:t>
      </w:r>
    </w:p>
    <w:p w14:paraId="405C8C50">
      <w:pPr>
        <w:pStyle w:val="19"/>
        <w:snapToGrid w:val="0"/>
        <w:spacing w:line="276" w:lineRule="auto"/>
        <w:jc w:val="center"/>
        <w:rPr>
          <w:rFonts w:hint="eastAsia" w:ascii="仿宋" w:hAnsi="仿宋" w:eastAsia="仿宋"/>
          <w:b/>
          <w:bCs/>
          <w:color w:val="000000"/>
          <w:sz w:val="24"/>
          <w:szCs w:val="24"/>
        </w:rPr>
      </w:pPr>
    </w:p>
    <w:p w14:paraId="3CB10D20">
      <w:pPr>
        <w:pStyle w:val="19"/>
        <w:snapToGrid w:val="0"/>
        <w:spacing w:line="276" w:lineRule="auto"/>
        <w:jc w:val="center"/>
        <w:rPr>
          <w:rFonts w:hint="eastAsia" w:ascii="仿宋" w:hAnsi="仿宋" w:eastAsia="仿宋"/>
          <w:b/>
          <w:bCs/>
          <w:color w:val="000000"/>
          <w:sz w:val="24"/>
          <w:szCs w:val="24"/>
        </w:rPr>
      </w:pPr>
    </w:p>
    <w:p w14:paraId="5D1C8A80">
      <w:pPr>
        <w:pStyle w:val="19"/>
        <w:snapToGrid w:val="0"/>
        <w:spacing w:line="276" w:lineRule="auto"/>
        <w:jc w:val="center"/>
        <w:rPr>
          <w:rFonts w:hint="eastAsia" w:ascii="仿宋" w:hAnsi="仿宋" w:eastAsia="仿宋"/>
          <w:b/>
          <w:bCs/>
          <w:color w:val="000000"/>
          <w:sz w:val="24"/>
          <w:szCs w:val="24"/>
        </w:rPr>
        <w:sectPr>
          <w:headerReference r:id="rId4" w:type="default"/>
          <w:footerReference r:id="rId5" w:type="default"/>
          <w:pgSz w:w="11906" w:h="16838"/>
          <w:pgMar w:top="1247" w:right="1134" w:bottom="794" w:left="1134" w:header="851" w:footer="992" w:gutter="0"/>
          <w:cols w:space="720" w:num="1"/>
          <w:docGrid w:type="lines" w:linePitch="312" w:charSpace="0"/>
        </w:sectPr>
      </w:pPr>
    </w:p>
    <w:p w14:paraId="5D5142AB">
      <w:pPr>
        <w:pStyle w:val="5"/>
        <w:wordWrap w:val="0"/>
        <w:topLinePunct/>
        <w:spacing w:line="500" w:lineRule="exact"/>
        <w:jc w:val="left"/>
        <w:rPr>
          <w:rFonts w:eastAsia="仿宋"/>
          <w:color w:val="000000"/>
        </w:rPr>
      </w:pPr>
      <w:bookmarkStart w:id="12" w:name="_Toc7678"/>
      <w:bookmarkEnd w:id="12"/>
      <w:bookmarkStart w:id="13" w:name="_Toc17507"/>
      <w:bookmarkEnd w:id="13"/>
      <w:r>
        <w:rPr>
          <w:rFonts w:eastAsia="仿宋"/>
          <w:color w:val="000000"/>
        </w:rPr>
        <w:t>二、资格证明文件</w:t>
      </w:r>
    </w:p>
    <w:p w14:paraId="1C496EDA">
      <w:pPr>
        <w:wordWrap w:val="0"/>
        <w:topLinePunct/>
        <w:spacing w:line="360" w:lineRule="auto"/>
        <w:jc w:val="center"/>
        <w:outlineLvl w:val="3"/>
        <w:rPr>
          <w:rFonts w:eastAsia="仿宋"/>
          <w:b/>
          <w:color w:val="000000"/>
          <w:sz w:val="28"/>
          <w:szCs w:val="28"/>
        </w:rPr>
      </w:pPr>
      <w:r>
        <w:rPr>
          <w:rFonts w:eastAsia="仿宋"/>
          <w:b/>
          <w:color w:val="000000"/>
          <w:sz w:val="28"/>
          <w:szCs w:val="28"/>
        </w:rPr>
        <w:t>资格证明文件</w:t>
      </w:r>
    </w:p>
    <w:p w14:paraId="499BA0B0">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供应商按磋商文件要求提供证明材料。</w:t>
      </w:r>
    </w:p>
    <w:p w14:paraId="30EF075A">
      <w:pPr>
        <w:snapToGrid w:val="0"/>
        <w:spacing w:before="120" w:line="360" w:lineRule="auto"/>
        <w:outlineLvl w:val="0"/>
        <w:rPr>
          <w:rFonts w:hint="eastAsia" w:ascii="仿宋" w:hAnsi="仿宋" w:eastAsia="仿宋"/>
          <w:b/>
          <w:color w:val="000000"/>
          <w:sz w:val="24"/>
        </w:rPr>
        <w:sectPr>
          <w:pgSz w:w="11906" w:h="16838"/>
          <w:pgMar w:top="1440" w:right="1800" w:bottom="1440" w:left="1800" w:header="851" w:footer="992" w:gutter="0"/>
          <w:cols w:space="720" w:num="1"/>
          <w:docGrid w:linePitch="315" w:charSpace="0"/>
        </w:sectPr>
      </w:pPr>
    </w:p>
    <w:p w14:paraId="49725AD9">
      <w:pPr>
        <w:pStyle w:val="5"/>
        <w:wordWrap w:val="0"/>
        <w:topLinePunct/>
        <w:spacing w:line="500" w:lineRule="exact"/>
        <w:jc w:val="left"/>
        <w:rPr>
          <w:rFonts w:hint="eastAsia" w:ascii="仿宋" w:hAnsi="仿宋" w:eastAsia="仿宋"/>
          <w:color w:val="000000"/>
        </w:rPr>
      </w:pPr>
      <w:r>
        <w:rPr>
          <w:rFonts w:hint="eastAsia" w:ascii="仿宋" w:hAnsi="仿宋" w:eastAsia="仿宋"/>
          <w:color w:val="000000"/>
        </w:rPr>
        <w:t>三、</w:t>
      </w:r>
      <w:r>
        <w:rPr>
          <w:rFonts w:eastAsia="仿宋"/>
          <w:color w:val="000000"/>
        </w:rPr>
        <w:t>分项报价表</w:t>
      </w:r>
    </w:p>
    <w:p w14:paraId="3B67CD9A">
      <w:pPr>
        <w:spacing w:line="360" w:lineRule="auto"/>
        <w:jc w:val="center"/>
        <w:rPr>
          <w:rFonts w:eastAsia="仿宋"/>
          <w:b/>
          <w:color w:val="000000"/>
          <w:sz w:val="28"/>
          <w:szCs w:val="28"/>
        </w:rPr>
      </w:pPr>
      <w:r>
        <w:rPr>
          <w:rFonts w:eastAsia="仿宋"/>
          <w:b/>
          <w:color w:val="000000"/>
          <w:sz w:val="28"/>
          <w:szCs w:val="28"/>
        </w:rPr>
        <w:t>分项报价表</w:t>
      </w:r>
    </w:p>
    <w:tbl>
      <w:tblPr>
        <w:tblStyle w:val="2"/>
        <w:tblW w:w="97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98"/>
        <w:gridCol w:w="2076"/>
        <w:gridCol w:w="1538"/>
        <w:gridCol w:w="1502"/>
        <w:gridCol w:w="1263"/>
        <w:gridCol w:w="1260"/>
      </w:tblGrid>
      <w:tr w14:paraId="7E04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58" w:type="dxa"/>
            <w:vAlign w:val="center"/>
          </w:tcPr>
          <w:p w14:paraId="34DFF414">
            <w:pPr>
              <w:pStyle w:val="44"/>
              <w:jc w:val="center"/>
              <w:rPr>
                <w:rFonts w:eastAsia="仿宋"/>
                <w:color w:val="000000"/>
                <w:sz w:val="24"/>
              </w:rPr>
            </w:pPr>
            <w:bookmarkStart w:id="14" w:name="_Hlk130936821"/>
            <w:r>
              <w:rPr>
                <w:rFonts w:eastAsia="仿宋"/>
                <w:color w:val="000000"/>
                <w:sz w:val="24"/>
              </w:rPr>
              <w:t>序号</w:t>
            </w:r>
          </w:p>
        </w:tc>
        <w:tc>
          <w:tcPr>
            <w:tcW w:w="1398" w:type="dxa"/>
            <w:vAlign w:val="center"/>
          </w:tcPr>
          <w:p w14:paraId="6D351482">
            <w:pPr>
              <w:pStyle w:val="44"/>
              <w:jc w:val="center"/>
              <w:rPr>
                <w:rFonts w:eastAsia="仿宋"/>
                <w:color w:val="000000"/>
                <w:sz w:val="24"/>
              </w:rPr>
            </w:pPr>
            <w:r>
              <w:rPr>
                <w:rFonts w:eastAsia="仿宋"/>
                <w:color w:val="000000"/>
                <w:sz w:val="24"/>
              </w:rPr>
              <w:t>名称</w:t>
            </w:r>
          </w:p>
        </w:tc>
        <w:tc>
          <w:tcPr>
            <w:tcW w:w="2076" w:type="dxa"/>
            <w:vAlign w:val="center"/>
          </w:tcPr>
          <w:p w14:paraId="48D6844E">
            <w:pPr>
              <w:pStyle w:val="44"/>
              <w:jc w:val="center"/>
              <w:rPr>
                <w:rFonts w:eastAsia="仿宋"/>
                <w:color w:val="000000"/>
                <w:sz w:val="24"/>
              </w:rPr>
            </w:pPr>
            <w:r>
              <w:rPr>
                <w:rFonts w:eastAsia="仿宋"/>
                <w:color w:val="000000"/>
                <w:sz w:val="24"/>
              </w:rPr>
              <w:t>服务范围</w:t>
            </w:r>
          </w:p>
        </w:tc>
        <w:tc>
          <w:tcPr>
            <w:tcW w:w="1538" w:type="dxa"/>
            <w:vAlign w:val="center"/>
          </w:tcPr>
          <w:p w14:paraId="67EEF294">
            <w:pPr>
              <w:pStyle w:val="44"/>
              <w:jc w:val="center"/>
              <w:rPr>
                <w:rFonts w:eastAsia="仿宋"/>
                <w:color w:val="000000"/>
                <w:sz w:val="24"/>
              </w:rPr>
            </w:pPr>
            <w:r>
              <w:rPr>
                <w:rFonts w:eastAsia="仿宋"/>
                <w:color w:val="000000"/>
                <w:sz w:val="24"/>
              </w:rPr>
              <w:t>服务要求</w:t>
            </w:r>
          </w:p>
        </w:tc>
        <w:tc>
          <w:tcPr>
            <w:tcW w:w="1502" w:type="dxa"/>
            <w:vAlign w:val="center"/>
          </w:tcPr>
          <w:p w14:paraId="47C3F6BE">
            <w:pPr>
              <w:pStyle w:val="44"/>
              <w:jc w:val="center"/>
              <w:rPr>
                <w:rFonts w:eastAsia="仿宋"/>
                <w:color w:val="000000"/>
                <w:sz w:val="24"/>
              </w:rPr>
            </w:pPr>
            <w:r>
              <w:rPr>
                <w:rFonts w:eastAsia="仿宋"/>
                <w:color w:val="000000"/>
                <w:sz w:val="24"/>
              </w:rPr>
              <w:t>服务时间</w:t>
            </w:r>
          </w:p>
        </w:tc>
        <w:tc>
          <w:tcPr>
            <w:tcW w:w="1263" w:type="dxa"/>
            <w:vAlign w:val="center"/>
          </w:tcPr>
          <w:p w14:paraId="5F7631A3">
            <w:pPr>
              <w:pStyle w:val="44"/>
              <w:jc w:val="center"/>
              <w:rPr>
                <w:rFonts w:eastAsia="仿宋"/>
                <w:color w:val="000000"/>
                <w:sz w:val="24"/>
              </w:rPr>
            </w:pPr>
            <w:r>
              <w:rPr>
                <w:rFonts w:eastAsia="仿宋"/>
                <w:color w:val="000000"/>
                <w:sz w:val="24"/>
              </w:rPr>
              <w:t>服务标准</w:t>
            </w:r>
          </w:p>
        </w:tc>
        <w:tc>
          <w:tcPr>
            <w:tcW w:w="1260" w:type="dxa"/>
            <w:vAlign w:val="center"/>
          </w:tcPr>
          <w:p w14:paraId="6D541DB0">
            <w:pPr>
              <w:pStyle w:val="44"/>
              <w:jc w:val="center"/>
              <w:rPr>
                <w:rFonts w:eastAsia="仿宋"/>
                <w:color w:val="000000"/>
                <w:sz w:val="24"/>
              </w:rPr>
            </w:pPr>
            <w:r>
              <w:rPr>
                <w:rFonts w:eastAsia="仿宋"/>
                <w:color w:val="000000"/>
                <w:sz w:val="24"/>
              </w:rPr>
              <w:t>报价（</w:t>
            </w:r>
            <w:r>
              <w:rPr>
                <w:rFonts w:hint="eastAsia" w:eastAsia="仿宋"/>
                <w:color w:val="000000"/>
                <w:sz w:val="24"/>
                <w:lang w:val="en-US" w:eastAsia="zh-CN"/>
              </w:rPr>
              <w:t>元</w:t>
            </w:r>
            <w:r>
              <w:rPr>
                <w:rFonts w:eastAsia="仿宋"/>
                <w:color w:val="000000"/>
                <w:sz w:val="24"/>
              </w:rPr>
              <w:t>）</w:t>
            </w:r>
          </w:p>
        </w:tc>
      </w:tr>
      <w:bookmarkEnd w:id="14"/>
      <w:tr w14:paraId="206A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58" w:type="dxa"/>
            <w:vAlign w:val="center"/>
          </w:tcPr>
          <w:p w14:paraId="112691D8">
            <w:pPr>
              <w:pStyle w:val="44"/>
              <w:spacing w:line="360" w:lineRule="auto"/>
              <w:jc w:val="center"/>
              <w:rPr>
                <w:rFonts w:eastAsia="仿宋"/>
                <w:color w:val="000000"/>
                <w:sz w:val="24"/>
              </w:rPr>
            </w:pPr>
            <w:r>
              <w:rPr>
                <w:rFonts w:eastAsia="仿宋"/>
                <w:color w:val="000000"/>
                <w:sz w:val="24"/>
              </w:rPr>
              <w:t>1</w:t>
            </w:r>
          </w:p>
        </w:tc>
        <w:tc>
          <w:tcPr>
            <w:tcW w:w="1398" w:type="dxa"/>
            <w:vAlign w:val="center"/>
          </w:tcPr>
          <w:p w14:paraId="224EAFE3">
            <w:pPr>
              <w:pStyle w:val="44"/>
              <w:spacing w:line="360" w:lineRule="auto"/>
              <w:jc w:val="center"/>
              <w:rPr>
                <w:rFonts w:eastAsia="仿宋"/>
                <w:color w:val="000000"/>
                <w:sz w:val="24"/>
              </w:rPr>
            </w:pPr>
          </w:p>
        </w:tc>
        <w:tc>
          <w:tcPr>
            <w:tcW w:w="2076" w:type="dxa"/>
            <w:vAlign w:val="center"/>
          </w:tcPr>
          <w:p w14:paraId="00D973EE">
            <w:pPr>
              <w:pStyle w:val="44"/>
              <w:spacing w:line="360" w:lineRule="auto"/>
              <w:jc w:val="center"/>
              <w:rPr>
                <w:rFonts w:eastAsia="仿宋"/>
                <w:color w:val="000000"/>
                <w:sz w:val="24"/>
              </w:rPr>
            </w:pPr>
          </w:p>
        </w:tc>
        <w:tc>
          <w:tcPr>
            <w:tcW w:w="1538" w:type="dxa"/>
            <w:vAlign w:val="center"/>
          </w:tcPr>
          <w:p w14:paraId="054C872D">
            <w:pPr>
              <w:pStyle w:val="44"/>
              <w:spacing w:line="360" w:lineRule="auto"/>
              <w:jc w:val="center"/>
              <w:rPr>
                <w:rFonts w:eastAsia="仿宋"/>
                <w:color w:val="000000"/>
                <w:sz w:val="24"/>
              </w:rPr>
            </w:pPr>
          </w:p>
        </w:tc>
        <w:tc>
          <w:tcPr>
            <w:tcW w:w="1502" w:type="dxa"/>
            <w:vAlign w:val="center"/>
          </w:tcPr>
          <w:p w14:paraId="61DBB9F1">
            <w:pPr>
              <w:pStyle w:val="44"/>
              <w:spacing w:line="360" w:lineRule="auto"/>
              <w:jc w:val="center"/>
              <w:rPr>
                <w:rFonts w:eastAsia="仿宋"/>
                <w:color w:val="000000"/>
                <w:sz w:val="24"/>
              </w:rPr>
            </w:pPr>
          </w:p>
        </w:tc>
        <w:tc>
          <w:tcPr>
            <w:tcW w:w="1263" w:type="dxa"/>
            <w:vAlign w:val="center"/>
          </w:tcPr>
          <w:p w14:paraId="570DD70A">
            <w:pPr>
              <w:pStyle w:val="44"/>
              <w:spacing w:line="360" w:lineRule="auto"/>
              <w:jc w:val="center"/>
              <w:rPr>
                <w:rFonts w:eastAsia="仿宋"/>
                <w:color w:val="000000"/>
                <w:sz w:val="24"/>
              </w:rPr>
            </w:pPr>
          </w:p>
        </w:tc>
        <w:tc>
          <w:tcPr>
            <w:tcW w:w="1260" w:type="dxa"/>
            <w:vAlign w:val="center"/>
          </w:tcPr>
          <w:p w14:paraId="6E287526">
            <w:pPr>
              <w:pStyle w:val="44"/>
              <w:spacing w:line="360" w:lineRule="auto"/>
              <w:jc w:val="center"/>
              <w:rPr>
                <w:rFonts w:eastAsia="仿宋"/>
                <w:color w:val="000000"/>
                <w:sz w:val="24"/>
              </w:rPr>
            </w:pPr>
          </w:p>
        </w:tc>
      </w:tr>
      <w:tr w14:paraId="5806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58" w:type="dxa"/>
            <w:vAlign w:val="center"/>
          </w:tcPr>
          <w:p w14:paraId="3CF5F42A">
            <w:pPr>
              <w:pStyle w:val="44"/>
              <w:spacing w:line="360" w:lineRule="auto"/>
              <w:jc w:val="center"/>
              <w:rPr>
                <w:rFonts w:hint="eastAsia" w:eastAsia="仿宋"/>
                <w:color w:val="000000"/>
                <w:sz w:val="24"/>
                <w:lang w:val="en-US" w:eastAsia="zh-CN"/>
              </w:rPr>
            </w:pPr>
            <w:r>
              <w:rPr>
                <w:rFonts w:hint="eastAsia" w:eastAsia="仿宋"/>
                <w:color w:val="000000"/>
                <w:sz w:val="24"/>
                <w:lang w:val="en-US" w:eastAsia="zh-CN"/>
              </w:rPr>
              <w:t>2</w:t>
            </w:r>
          </w:p>
        </w:tc>
        <w:tc>
          <w:tcPr>
            <w:tcW w:w="1398" w:type="dxa"/>
            <w:vAlign w:val="center"/>
          </w:tcPr>
          <w:p w14:paraId="05F3F445">
            <w:pPr>
              <w:pStyle w:val="44"/>
              <w:spacing w:line="360" w:lineRule="auto"/>
              <w:jc w:val="center"/>
              <w:rPr>
                <w:rFonts w:eastAsia="仿宋"/>
                <w:color w:val="000000"/>
                <w:sz w:val="24"/>
              </w:rPr>
            </w:pPr>
          </w:p>
        </w:tc>
        <w:tc>
          <w:tcPr>
            <w:tcW w:w="2076" w:type="dxa"/>
            <w:vAlign w:val="center"/>
          </w:tcPr>
          <w:p w14:paraId="7F0369EE">
            <w:pPr>
              <w:pStyle w:val="44"/>
              <w:spacing w:line="360" w:lineRule="auto"/>
              <w:jc w:val="center"/>
              <w:rPr>
                <w:rFonts w:eastAsia="仿宋"/>
                <w:color w:val="000000"/>
                <w:sz w:val="24"/>
              </w:rPr>
            </w:pPr>
          </w:p>
        </w:tc>
        <w:tc>
          <w:tcPr>
            <w:tcW w:w="1538" w:type="dxa"/>
            <w:vAlign w:val="center"/>
          </w:tcPr>
          <w:p w14:paraId="37AC99C3">
            <w:pPr>
              <w:pStyle w:val="44"/>
              <w:spacing w:line="360" w:lineRule="auto"/>
              <w:jc w:val="center"/>
              <w:rPr>
                <w:rFonts w:eastAsia="仿宋"/>
                <w:color w:val="000000"/>
                <w:sz w:val="24"/>
              </w:rPr>
            </w:pPr>
          </w:p>
        </w:tc>
        <w:tc>
          <w:tcPr>
            <w:tcW w:w="1502" w:type="dxa"/>
            <w:vAlign w:val="center"/>
          </w:tcPr>
          <w:p w14:paraId="10C48B67">
            <w:pPr>
              <w:pStyle w:val="44"/>
              <w:spacing w:line="360" w:lineRule="auto"/>
              <w:jc w:val="center"/>
              <w:rPr>
                <w:rFonts w:eastAsia="仿宋"/>
                <w:color w:val="000000"/>
                <w:sz w:val="24"/>
              </w:rPr>
            </w:pPr>
          </w:p>
        </w:tc>
        <w:tc>
          <w:tcPr>
            <w:tcW w:w="1263" w:type="dxa"/>
            <w:vAlign w:val="center"/>
          </w:tcPr>
          <w:p w14:paraId="39E6F043">
            <w:pPr>
              <w:pStyle w:val="44"/>
              <w:spacing w:line="360" w:lineRule="auto"/>
              <w:jc w:val="center"/>
              <w:rPr>
                <w:rFonts w:eastAsia="仿宋"/>
                <w:color w:val="000000"/>
                <w:sz w:val="24"/>
              </w:rPr>
            </w:pPr>
          </w:p>
        </w:tc>
        <w:tc>
          <w:tcPr>
            <w:tcW w:w="1260" w:type="dxa"/>
            <w:vAlign w:val="center"/>
          </w:tcPr>
          <w:p w14:paraId="291142BC">
            <w:pPr>
              <w:pStyle w:val="44"/>
              <w:spacing w:line="360" w:lineRule="auto"/>
              <w:jc w:val="center"/>
              <w:rPr>
                <w:rFonts w:eastAsia="仿宋"/>
                <w:color w:val="000000"/>
                <w:sz w:val="24"/>
              </w:rPr>
            </w:pPr>
          </w:p>
        </w:tc>
      </w:tr>
      <w:tr w14:paraId="1D27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35" w:type="dxa"/>
            <w:gridSpan w:val="6"/>
            <w:vAlign w:val="center"/>
          </w:tcPr>
          <w:p w14:paraId="23B034D7">
            <w:pPr>
              <w:pStyle w:val="44"/>
              <w:spacing w:line="360" w:lineRule="auto"/>
              <w:jc w:val="center"/>
              <w:rPr>
                <w:rFonts w:eastAsia="仿宋"/>
                <w:color w:val="000000"/>
                <w:szCs w:val="21"/>
              </w:rPr>
            </w:pPr>
            <w:r>
              <w:rPr>
                <w:rFonts w:eastAsia="仿宋"/>
                <w:color w:val="000000"/>
                <w:szCs w:val="21"/>
              </w:rPr>
              <w:t>响应报价合计（</w:t>
            </w:r>
            <w:r>
              <w:rPr>
                <w:rFonts w:hint="eastAsia" w:eastAsia="仿宋"/>
                <w:color w:val="000000"/>
                <w:szCs w:val="21"/>
                <w:lang w:val="en-US" w:eastAsia="zh-CN"/>
              </w:rPr>
              <w:t>元</w:t>
            </w:r>
            <w:r>
              <w:rPr>
                <w:rFonts w:eastAsia="仿宋"/>
                <w:color w:val="000000"/>
                <w:szCs w:val="21"/>
              </w:rPr>
              <w:t>）</w:t>
            </w:r>
          </w:p>
        </w:tc>
        <w:tc>
          <w:tcPr>
            <w:tcW w:w="1260" w:type="dxa"/>
            <w:vAlign w:val="center"/>
          </w:tcPr>
          <w:p w14:paraId="35A51857">
            <w:pPr>
              <w:pStyle w:val="44"/>
              <w:spacing w:line="360" w:lineRule="auto"/>
              <w:jc w:val="center"/>
              <w:rPr>
                <w:rFonts w:eastAsia="仿宋"/>
                <w:color w:val="000000"/>
                <w:sz w:val="24"/>
              </w:rPr>
            </w:pPr>
          </w:p>
        </w:tc>
      </w:tr>
    </w:tbl>
    <w:p w14:paraId="59B21247">
      <w:pPr>
        <w:spacing w:line="360" w:lineRule="auto"/>
        <w:ind w:firstLine="420" w:firstLineChars="200"/>
        <w:rPr>
          <w:rFonts w:eastAsia="仿宋"/>
          <w:color w:val="000000"/>
        </w:rPr>
      </w:pPr>
    </w:p>
    <w:p w14:paraId="49D6305F">
      <w:pPr>
        <w:spacing w:line="360" w:lineRule="auto"/>
        <w:ind w:firstLine="420" w:firstLineChars="200"/>
        <w:rPr>
          <w:rFonts w:eastAsia="仿宋"/>
          <w:color w:val="000000"/>
        </w:rPr>
      </w:pPr>
    </w:p>
    <w:p w14:paraId="4EAF2793">
      <w:pPr>
        <w:spacing w:line="360" w:lineRule="auto"/>
        <w:ind w:firstLine="420" w:firstLineChars="200"/>
        <w:rPr>
          <w:rFonts w:eastAsia="仿宋"/>
          <w:color w:val="000000"/>
        </w:rPr>
      </w:pPr>
      <w:r>
        <w:rPr>
          <w:rFonts w:eastAsia="仿宋"/>
          <w:color w:val="000000"/>
        </w:rPr>
        <w:t>注：</w:t>
      </w:r>
    </w:p>
    <w:p w14:paraId="1B0A6265">
      <w:pPr>
        <w:spacing w:line="360" w:lineRule="auto"/>
        <w:ind w:firstLine="422" w:firstLineChars="200"/>
        <w:jc w:val="left"/>
        <w:rPr>
          <w:rFonts w:eastAsia="仿宋"/>
          <w:b/>
          <w:color w:val="000000"/>
        </w:rPr>
      </w:pPr>
      <w:r>
        <w:rPr>
          <w:rFonts w:eastAsia="仿宋"/>
          <w:b/>
          <w:color w:val="000000"/>
        </w:rPr>
        <w:t>1.</w:t>
      </w:r>
      <w:r>
        <w:rPr>
          <w:rFonts w:hint="eastAsia" w:eastAsia="仿宋"/>
          <w:b/>
          <w:color w:val="000000"/>
        </w:rPr>
        <w:t>上述报价为综合报价，应包含一切税费</w:t>
      </w:r>
      <w:r>
        <w:rPr>
          <w:rFonts w:eastAsia="仿宋"/>
          <w:b/>
          <w:color w:val="000000"/>
        </w:rPr>
        <w:t>。</w:t>
      </w:r>
    </w:p>
    <w:p w14:paraId="6DB80FDB">
      <w:pPr>
        <w:spacing w:line="360" w:lineRule="auto"/>
        <w:ind w:firstLine="422" w:firstLineChars="200"/>
        <w:rPr>
          <w:rFonts w:eastAsia="仿宋"/>
          <w:b/>
          <w:color w:val="000000"/>
        </w:rPr>
      </w:pPr>
      <w:r>
        <w:rPr>
          <w:rFonts w:eastAsia="仿宋"/>
          <w:b/>
          <w:color w:val="000000"/>
        </w:rPr>
        <w:t>2.供应商根据项目实际填写。</w:t>
      </w:r>
    </w:p>
    <w:p w14:paraId="30999DC0">
      <w:pPr>
        <w:pStyle w:val="5"/>
        <w:wordWrap w:val="0"/>
        <w:topLinePunct/>
        <w:spacing w:line="500" w:lineRule="exact"/>
        <w:jc w:val="left"/>
        <w:rPr>
          <w:rFonts w:hint="eastAsia" w:ascii="仿宋" w:hAnsi="仿宋" w:eastAsia="仿宋"/>
          <w:color w:val="000000"/>
        </w:rPr>
      </w:pPr>
      <w:r>
        <w:rPr>
          <w:rFonts w:hint="eastAsia" w:ascii="仿宋" w:hAnsi="仿宋" w:eastAsia="仿宋"/>
          <w:color w:val="000000"/>
        </w:rPr>
        <w:br w:type="page"/>
      </w:r>
      <w:r>
        <w:rPr>
          <w:rFonts w:hint="eastAsia" w:ascii="仿宋" w:hAnsi="仿宋" w:eastAsia="仿宋"/>
          <w:color w:val="000000"/>
        </w:rPr>
        <w:t>四、</w:t>
      </w:r>
      <w:r>
        <w:rPr>
          <w:rFonts w:eastAsia="仿宋"/>
          <w:color w:val="000000"/>
        </w:rPr>
        <w:t>拟任本项目负责人情况一览表（如有）</w:t>
      </w:r>
    </w:p>
    <w:p w14:paraId="31993AC2">
      <w:pPr>
        <w:spacing w:line="360" w:lineRule="auto"/>
        <w:jc w:val="center"/>
        <w:rPr>
          <w:rFonts w:eastAsia="仿宋"/>
          <w:b/>
          <w:color w:val="000000"/>
          <w:sz w:val="28"/>
          <w:szCs w:val="28"/>
        </w:rPr>
      </w:pPr>
      <w:r>
        <w:rPr>
          <w:rFonts w:eastAsia="仿宋"/>
          <w:b/>
          <w:color w:val="000000"/>
          <w:sz w:val="28"/>
          <w:szCs w:val="28"/>
        </w:rPr>
        <w:t>拟任本项目负责人情况一览表</w:t>
      </w:r>
    </w:p>
    <w:tbl>
      <w:tblPr>
        <w:tblStyle w:val="2"/>
        <w:tblW w:w="85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29"/>
        <w:gridCol w:w="1192"/>
        <w:gridCol w:w="1133"/>
        <w:gridCol w:w="4178"/>
      </w:tblGrid>
      <w:tr w14:paraId="449F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86" w:type="dxa"/>
            <w:vAlign w:val="center"/>
          </w:tcPr>
          <w:p w14:paraId="1BD2A2C1">
            <w:pPr>
              <w:pStyle w:val="44"/>
              <w:keepNext w:val="0"/>
              <w:keepLines w:val="0"/>
              <w:pageBreakBefore w:val="0"/>
              <w:widowControl w:val="0"/>
              <w:kinsoku/>
              <w:wordWrap/>
              <w:overflowPunct/>
              <w:topLinePunct w:val="0"/>
              <w:autoSpaceDE/>
              <w:autoSpaceDN/>
              <w:bidi w:val="0"/>
              <w:snapToGrid/>
              <w:jc w:val="center"/>
              <w:rPr>
                <w:rFonts w:eastAsia="仿宋"/>
                <w:color w:val="000000"/>
                <w:sz w:val="24"/>
              </w:rPr>
            </w:pPr>
            <w:r>
              <w:rPr>
                <w:rFonts w:eastAsia="仿宋"/>
                <w:color w:val="000000"/>
                <w:sz w:val="24"/>
              </w:rPr>
              <w:t>姓名</w:t>
            </w:r>
          </w:p>
        </w:tc>
        <w:tc>
          <w:tcPr>
            <w:tcW w:w="929" w:type="dxa"/>
            <w:vAlign w:val="center"/>
          </w:tcPr>
          <w:p w14:paraId="6FD201F4">
            <w:pPr>
              <w:pStyle w:val="44"/>
              <w:keepNext w:val="0"/>
              <w:keepLines w:val="0"/>
              <w:pageBreakBefore w:val="0"/>
              <w:widowControl w:val="0"/>
              <w:kinsoku/>
              <w:wordWrap/>
              <w:overflowPunct/>
              <w:topLinePunct w:val="0"/>
              <w:autoSpaceDE/>
              <w:autoSpaceDN/>
              <w:bidi w:val="0"/>
              <w:snapToGrid/>
              <w:jc w:val="center"/>
              <w:rPr>
                <w:rFonts w:eastAsia="仿宋"/>
                <w:color w:val="000000"/>
                <w:sz w:val="24"/>
              </w:rPr>
            </w:pPr>
            <w:r>
              <w:rPr>
                <w:rFonts w:eastAsia="仿宋"/>
                <w:color w:val="000000"/>
                <w:sz w:val="24"/>
              </w:rPr>
              <w:t>年龄</w:t>
            </w:r>
          </w:p>
        </w:tc>
        <w:tc>
          <w:tcPr>
            <w:tcW w:w="1192" w:type="dxa"/>
            <w:vAlign w:val="center"/>
          </w:tcPr>
          <w:p w14:paraId="0F9699D0">
            <w:pPr>
              <w:pStyle w:val="44"/>
              <w:keepNext w:val="0"/>
              <w:keepLines w:val="0"/>
              <w:pageBreakBefore w:val="0"/>
              <w:widowControl w:val="0"/>
              <w:kinsoku/>
              <w:wordWrap/>
              <w:overflowPunct/>
              <w:topLinePunct w:val="0"/>
              <w:autoSpaceDE/>
              <w:autoSpaceDN/>
              <w:bidi w:val="0"/>
              <w:snapToGrid/>
              <w:jc w:val="center"/>
              <w:rPr>
                <w:rFonts w:eastAsia="仿宋"/>
                <w:color w:val="000000"/>
                <w:sz w:val="24"/>
              </w:rPr>
            </w:pPr>
            <w:r>
              <w:rPr>
                <w:rFonts w:eastAsia="仿宋"/>
                <w:color w:val="000000"/>
                <w:sz w:val="24"/>
              </w:rPr>
              <w:t>职称及等级</w:t>
            </w:r>
          </w:p>
        </w:tc>
        <w:tc>
          <w:tcPr>
            <w:tcW w:w="1133" w:type="dxa"/>
            <w:vAlign w:val="center"/>
          </w:tcPr>
          <w:p w14:paraId="7EEA1033">
            <w:pPr>
              <w:pStyle w:val="44"/>
              <w:keepNext w:val="0"/>
              <w:keepLines w:val="0"/>
              <w:pageBreakBefore w:val="0"/>
              <w:widowControl w:val="0"/>
              <w:kinsoku/>
              <w:wordWrap/>
              <w:overflowPunct/>
              <w:topLinePunct w:val="0"/>
              <w:autoSpaceDE/>
              <w:autoSpaceDN/>
              <w:bidi w:val="0"/>
              <w:snapToGrid/>
              <w:jc w:val="center"/>
              <w:rPr>
                <w:rFonts w:eastAsia="仿宋"/>
                <w:color w:val="000000"/>
                <w:sz w:val="24"/>
              </w:rPr>
            </w:pPr>
            <w:r>
              <w:rPr>
                <w:rFonts w:eastAsia="仿宋"/>
                <w:color w:val="000000"/>
                <w:sz w:val="24"/>
              </w:rPr>
              <w:t>职业资格</w:t>
            </w:r>
          </w:p>
        </w:tc>
        <w:tc>
          <w:tcPr>
            <w:tcW w:w="4178" w:type="dxa"/>
            <w:vAlign w:val="center"/>
          </w:tcPr>
          <w:p w14:paraId="0DEE0838">
            <w:pPr>
              <w:pStyle w:val="44"/>
              <w:keepNext w:val="0"/>
              <w:keepLines w:val="0"/>
              <w:pageBreakBefore w:val="0"/>
              <w:widowControl w:val="0"/>
              <w:kinsoku/>
              <w:wordWrap/>
              <w:overflowPunct/>
              <w:topLinePunct w:val="0"/>
              <w:autoSpaceDE/>
              <w:autoSpaceDN/>
              <w:bidi w:val="0"/>
              <w:snapToGrid/>
              <w:jc w:val="center"/>
              <w:rPr>
                <w:rFonts w:eastAsia="仿宋"/>
                <w:color w:val="000000"/>
                <w:sz w:val="24"/>
              </w:rPr>
            </w:pPr>
            <w:r>
              <w:rPr>
                <w:rFonts w:eastAsia="仿宋"/>
                <w:color w:val="000000"/>
                <w:sz w:val="24"/>
              </w:rPr>
              <w:t>从事相关经历（简历）</w:t>
            </w:r>
          </w:p>
        </w:tc>
      </w:tr>
      <w:tr w14:paraId="2E3A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1086" w:type="dxa"/>
            <w:vAlign w:val="top"/>
          </w:tcPr>
          <w:p w14:paraId="33134C32">
            <w:pPr>
              <w:pStyle w:val="44"/>
              <w:rPr>
                <w:rFonts w:eastAsia="仿宋"/>
                <w:color w:val="000000"/>
                <w:sz w:val="24"/>
              </w:rPr>
            </w:pPr>
          </w:p>
        </w:tc>
        <w:tc>
          <w:tcPr>
            <w:tcW w:w="929" w:type="dxa"/>
            <w:vAlign w:val="top"/>
          </w:tcPr>
          <w:p w14:paraId="6B3F8135">
            <w:pPr>
              <w:pStyle w:val="44"/>
              <w:rPr>
                <w:rFonts w:eastAsia="仿宋"/>
                <w:color w:val="000000"/>
                <w:sz w:val="24"/>
              </w:rPr>
            </w:pPr>
          </w:p>
        </w:tc>
        <w:tc>
          <w:tcPr>
            <w:tcW w:w="1192" w:type="dxa"/>
            <w:vAlign w:val="top"/>
          </w:tcPr>
          <w:p w14:paraId="36C5381C">
            <w:pPr>
              <w:pStyle w:val="44"/>
              <w:rPr>
                <w:rFonts w:eastAsia="仿宋"/>
                <w:color w:val="000000"/>
                <w:sz w:val="24"/>
              </w:rPr>
            </w:pPr>
          </w:p>
        </w:tc>
        <w:tc>
          <w:tcPr>
            <w:tcW w:w="1133" w:type="dxa"/>
            <w:vAlign w:val="top"/>
          </w:tcPr>
          <w:p w14:paraId="595D98F6">
            <w:pPr>
              <w:pStyle w:val="44"/>
              <w:rPr>
                <w:rFonts w:eastAsia="仿宋"/>
                <w:color w:val="000000"/>
                <w:sz w:val="24"/>
              </w:rPr>
            </w:pPr>
          </w:p>
        </w:tc>
        <w:tc>
          <w:tcPr>
            <w:tcW w:w="4178" w:type="dxa"/>
            <w:vAlign w:val="top"/>
          </w:tcPr>
          <w:p w14:paraId="269F4F21">
            <w:pPr>
              <w:pStyle w:val="44"/>
              <w:rPr>
                <w:rFonts w:eastAsia="仿宋"/>
                <w:color w:val="000000"/>
                <w:sz w:val="24"/>
              </w:rPr>
            </w:pPr>
          </w:p>
        </w:tc>
      </w:tr>
    </w:tbl>
    <w:p w14:paraId="3A3AD7D2">
      <w:pPr>
        <w:widowControl/>
        <w:spacing w:line="300" w:lineRule="auto"/>
        <w:jc w:val="left"/>
        <w:rPr>
          <w:rFonts w:hint="eastAsia" w:ascii="仿宋" w:hAnsi="仿宋" w:eastAsia="仿宋"/>
          <w:color w:val="000000"/>
        </w:rPr>
      </w:pPr>
    </w:p>
    <w:p w14:paraId="30A8F471">
      <w:pPr>
        <w:pStyle w:val="5"/>
        <w:wordWrap w:val="0"/>
        <w:topLinePunct/>
        <w:spacing w:line="500" w:lineRule="exact"/>
        <w:jc w:val="left"/>
        <w:rPr>
          <w:rFonts w:hint="eastAsia" w:ascii="仿宋" w:hAnsi="仿宋" w:eastAsia="仿宋"/>
          <w:color w:val="000000"/>
        </w:rPr>
      </w:pPr>
      <w:r>
        <w:rPr>
          <w:rFonts w:hint="eastAsia" w:ascii="仿宋" w:hAnsi="仿宋" w:eastAsia="仿宋"/>
          <w:color w:val="000000"/>
        </w:rPr>
        <w:br w:type="page"/>
      </w:r>
      <w:r>
        <w:rPr>
          <w:rFonts w:hint="eastAsia" w:ascii="仿宋" w:hAnsi="仿宋" w:eastAsia="仿宋"/>
        </w:rPr>
        <w:t>五、</w:t>
      </w:r>
      <w:r>
        <w:rPr>
          <w:rFonts w:eastAsia="仿宋"/>
        </w:rPr>
        <w:t>本项目专业工种安排表（如有）</w:t>
      </w:r>
    </w:p>
    <w:p w14:paraId="53A5E440">
      <w:pPr>
        <w:spacing w:line="360" w:lineRule="auto"/>
        <w:jc w:val="center"/>
        <w:rPr>
          <w:rFonts w:eastAsia="仿宋"/>
          <w:b/>
          <w:sz w:val="28"/>
          <w:szCs w:val="28"/>
        </w:rPr>
      </w:pPr>
      <w:r>
        <w:rPr>
          <w:rFonts w:eastAsia="仿宋"/>
          <w:b/>
          <w:sz w:val="28"/>
          <w:szCs w:val="28"/>
        </w:rPr>
        <w:t>本项目专业工种安排表</w:t>
      </w:r>
    </w:p>
    <w:tbl>
      <w:tblPr>
        <w:tblStyle w:val="2"/>
        <w:tblW w:w="9037" w:type="dxa"/>
        <w:jc w:val="center"/>
        <w:tblLayout w:type="fixed"/>
        <w:tblCellMar>
          <w:top w:w="20" w:type="dxa"/>
          <w:left w:w="20" w:type="dxa"/>
          <w:bottom w:w="0" w:type="dxa"/>
          <w:right w:w="20" w:type="dxa"/>
        </w:tblCellMar>
      </w:tblPr>
      <w:tblGrid>
        <w:gridCol w:w="2130"/>
        <w:gridCol w:w="2703"/>
        <w:gridCol w:w="1848"/>
        <w:gridCol w:w="2356"/>
      </w:tblGrid>
      <w:tr w14:paraId="542933C1">
        <w:tblPrEx>
          <w:tblCellMar>
            <w:top w:w="20" w:type="dxa"/>
            <w:left w:w="20" w:type="dxa"/>
            <w:bottom w:w="0" w:type="dxa"/>
            <w:right w:w="20" w:type="dxa"/>
          </w:tblCellMar>
        </w:tblPrEx>
        <w:trPr>
          <w:trHeight w:val="644" w:hRule="atLeast"/>
          <w:jc w:val="center"/>
        </w:trPr>
        <w:tc>
          <w:tcPr>
            <w:tcW w:w="213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48E9697">
            <w:pPr>
              <w:pStyle w:val="44"/>
              <w:jc w:val="center"/>
              <w:rPr>
                <w:rFonts w:eastAsia="仿宋"/>
                <w:sz w:val="24"/>
              </w:rPr>
            </w:pPr>
            <w:r>
              <w:rPr>
                <w:rFonts w:eastAsia="仿宋"/>
                <w:sz w:val="24"/>
              </w:rPr>
              <w:t>工种</w:t>
            </w:r>
          </w:p>
        </w:tc>
        <w:tc>
          <w:tcPr>
            <w:tcW w:w="270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52A853C">
            <w:pPr>
              <w:pStyle w:val="44"/>
              <w:jc w:val="center"/>
              <w:rPr>
                <w:rFonts w:eastAsia="仿宋"/>
                <w:sz w:val="24"/>
              </w:rPr>
            </w:pPr>
            <w:r>
              <w:rPr>
                <w:rFonts w:eastAsia="仿宋"/>
                <w:sz w:val="24"/>
              </w:rPr>
              <w:t>要求（条件）</w:t>
            </w:r>
          </w:p>
        </w:tc>
        <w:tc>
          <w:tcPr>
            <w:tcW w:w="184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795C77CF">
            <w:pPr>
              <w:pStyle w:val="44"/>
              <w:jc w:val="center"/>
              <w:rPr>
                <w:rFonts w:eastAsia="仿宋"/>
                <w:sz w:val="24"/>
              </w:rPr>
            </w:pPr>
            <w:r>
              <w:rPr>
                <w:rFonts w:eastAsia="仿宋"/>
                <w:sz w:val="24"/>
              </w:rPr>
              <w:t>人数</w:t>
            </w:r>
          </w:p>
        </w:tc>
        <w:tc>
          <w:tcPr>
            <w:tcW w:w="2356" w:type="dxa"/>
            <w:tcBorders>
              <w:top w:val="single" w:color="auto" w:sz="4" w:space="0"/>
              <w:left w:val="nil"/>
              <w:bottom w:val="single" w:color="auto" w:sz="4" w:space="0"/>
              <w:right w:val="single" w:color="auto" w:sz="4" w:space="0"/>
            </w:tcBorders>
            <w:vAlign w:val="center"/>
          </w:tcPr>
          <w:p w14:paraId="7D39513A">
            <w:pPr>
              <w:pStyle w:val="44"/>
              <w:jc w:val="center"/>
              <w:rPr>
                <w:rFonts w:eastAsia="仿宋"/>
                <w:sz w:val="24"/>
              </w:rPr>
            </w:pPr>
            <w:r>
              <w:rPr>
                <w:rFonts w:eastAsia="仿宋"/>
                <w:sz w:val="24"/>
              </w:rPr>
              <w:t>备注</w:t>
            </w:r>
          </w:p>
        </w:tc>
      </w:tr>
      <w:tr w14:paraId="6579DBBF">
        <w:tblPrEx>
          <w:tblCellMar>
            <w:top w:w="20" w:type="dxa"/>
            <w:left w:w="20" w:type="dxa"/>
            <w:bottom w:w="0" w:type="dxa"/>
            <w:right w:w="20" w:type="dxa"/>
          </w:tblCellMar>
        </w:tblPrEx>
        <w:trPr>
          <w:trHeight w:val="594" w:hRule="atLeast"/>
          <w:jc w:val="center"/>
        </w:trPr>
        <w:tc>
          <w:tcPr>
            <w:tcW w:w="2130"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6A6F7F05">
            <w:pPr>
              <w:pStyle w:val="44"/>
              <w:rPr>
                <w:rFonts w:eastAsia="仿宋"/>
                <w:sz w:val="24"/>
              </w:rPr>
            </w:pPr>
            <w:r>
              <w:rPr>
                <w:rFonts w:eastAsia="仿宋"/>
                <w:sz w:val="24"/>
              </w:rPr>
              <w:t xml:space="preserve"> </w:t>
            </w: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2312885E">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68CB2059">
            <w:pPr>
              <w:pStyle w:val="44"/>
              <w:rPr>
                <w:rFonts w:eastAsia="仿宋"/>
                <w:sz w:val="24"/>
              </w:rPr>
            </w:pPr>
          </w:p>
        </w:tc>
        <w:tc>
          <w:tcPr>
            <w:tcW w:w="2356" w:type="dxa"/>
            <w:tcBorders>
              <w:top w:val="nil"/>
              <w:left w:val="nil"/>
              <w:bottom w:val="single" w:color="auto" w:sz="4" w:space="0"/>
              <w:right w:val="single" w:color="auto" w:sz="4" w:space="0"/>
            </w:tcBorders>
            <w:vAlign w:val="top"/>
          </w:tcPr>
          <w:p w14:paraId="08A9279D">
            <w:pPr>
              <w:pStyle w:val="44"/>
              <w:rPr>
                <w:rFonts w:eastAsia="仿宋"/>
                <w:sz w:val="24"/>
              </w:rPr>
            </w:pPr>
          </w:p>
        </w:tc>
      </w:tr>
      <w:tr w14:paraId="0F81D28E">
        <w:tblPrEx>
          <w:tblCellMar>
            <w:top w:w="20" w:type="dxa"/>
            <w:left w:w="20" w:type="dxa"/>
            <w:bottom w:w="0" w:type="dxa"/>
            <w:right w:w="20" w:type="dxa"/>
          </w:tblCellMar>
        </w:tblPrEx>
        <w:trPr>
          <w:trHeight w:val="594" w:hRule="atLeast"/>
          <w:jc w:val="center"/>
        </w:trPr>
        <w:tc>
          <w:tcPr>
            <w:tcW w:w="2130" w:type="dxa"/>
            <w:vMerge w:val="continue"/>
            <w:tcBorders>
              <w:left w:val="single" w:color="auto" w:sz="4" w:space="0"/>
              <w:right w:val="single" w:color="auto" w:sz="4" w:space="0"/>
            </w:tcBorders>
            <w:tcMar>
              <w:top w:w="20" w:type="dxa"/>
              <w:left w:w="20" w:type="dxa"/>
              <w:bottom w:w="0" w:type="dxa"/>
              <w:right w:w="20" w:type="dxa"/>
            </w:tcMar>
            <w:vAlign w:val="center"/>
          </w:tcPr>
          <w:p w14:paraId="0004DA91">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2B1BA94C">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0798396C">
            <w:pPr>
              <w:pStyle w:val="44"/>
              <w:rPr>
                <w:rFonts w:eastAsia="仿宋"/>
                <w:sz w:val="24"/>
              </w:rPr>
            </w:pPr>
          </w:p>
        </w:tc>
        <w:tc>
          <w:tcPr>
            <w:tcW w:w="2356" w:type="dxa"/>
            <w:tcBorders>
              <w:top w:val="nil"/>
              <w:left w:val="nil"/>
              <w:bottom w:val="single" w:color="auto" w:sz="4" w:space="0"/>
              <w:right w:val="single" w:color="auto" w:sz="4" w:space="0"/>
            </w:tcBorders>
            <w:vAlign w:val="top"/>
          </w:tcPr>
          <w:p w14:paraId="6B99235A">
            <w:pPr>
              <w:pStyle w:val="44"/>
              <w:rPr>
                <w:rFonts w:eastAsia="仿宋"/>
                <w:sz w:val="24"/>
              </w:rPr>
            </w:pPr>
          </w:p>
        </w:tc>
      </w:tr>
      <w:tr w14:paraId="4D50B291">
        <w:tblPrEx>
          <w:tblCellMar>
            <w:top w:w="20" w:type="dxa"/>
            <w:left w:w="20" w:type="dxa"/>
            <w:bottom w:w="0" w:type="dxa"/>
            <w:right w:w="20" w:type="dxa"/>
          </w:tblCellMar>
        </w:tblPrEx>
        <w:trPr>
          <w:trHeight w:val="624" w:hRule="atLeast"/>
          <w:jc w:val="center"/>
        </w:trPr>
        <w:tc>
          <w:tcPr>
            <w:tcW w:w="2130" w:type="dxa"/>
            <w:vMerge w:val="continue"/>
            <w:tcBorders>
              <w:left w:val="single" w:color="auto" w:sz="4" w:space="0"/>
              <w:right w:val="single" w:color="auto" w:sz="4" w:space="0"/>
            </w:tcBorders>
            <w:tcMar>
              <w:top w:w="20" w:type="dxa"/>
              <w:left w:w="20" w:type="dxa"/>
              <w:bottom w:w="0" w:type="dxa"/>
              <w:right w:w="20" w:type="dxa"/>
            </w:tcMar>
            <w:vAlign w:val="center"/>
          </w:tcPr>
          <w:p w14:paraId="03536B7D">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2ECC72BC">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730F8250">
            <w:pPr>
              <w:pStyle w:val="44"/>
              <w:rPr>
                <w:rFonts w:eastAsia="仿宋"/>
                <w:sz w:val="24"/>
              </w:rPr>
            </w:pPr>
          </w:p>
        </w:tc>
        <w:tc>
          <w:tcPr>
            <w:tcW w:w="2356" w:type="dxa"/>
            <w:tcBorders>
              <w:top w:val="nil"/>
              <w:left w:val="nil"/>
              <w:bottom w:val="single" w:color="auto" w:sz="4" w:space="0"/>
              <w:right w:val="single" w:color="auto" w:sz="4" w:space="0"/>
            </w:tcBorders>
            <w:vAlign w:val="top"/>
          </w:tcPr>
          <w:p w14:paraId="44D721E3">
            <w:pPr>
              <w:pStyle w:val="44"/>
              <w:rPr>
                <w:rFonts w:eastAsia="仿宋"/>
                <w:sz w:val="24"/>
              </w:rPr>
            </w:pPr>
          </w:p>
        </w:tc>
      </w:tr>
      <w:tr w14:paraId="496899E6">
        <w:tblPrEx>
          <w:tblCellMar>
            <w:top w:w="20" w:type="dxa"/>
            <w:left w:w="20" w:type="dxa"/>
            <w:bottom w:w="0" w:type="dxa"/>
            <w:right w:w="20" w:type="dxa"/>
          </w:tblCellMar>
        </w:tblPrEx>
        <w:trPr>
          <w:trHeight w:val="609" w:hRule="atLeast"/>
          <w:jc w:val="center"/>
        </w:trPr>
        <w:tc>
          <w:tcPr>
            <w:tcW w:w="2130"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14:paraId="311D9206">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174EF774">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25AA6718">
            <w:pPr>
              <w:pStyle w:val="44"/>
              <w:rPr>
                <w:rFonts w:eastAsia="仿宋"/>
                <w:sz w:val="24"/>
              </w:rPr>
            </w:pPr>
          </w:p>
        </w:tc>
        <w:tc>
          <w:tcPr>
            <w:tcW w:w="2356" w:type="dxa"/>
            <w:tcBorders>
              <w:top w:val="nil"/>
              <w:left w:val="nil"/>
              <w:bottom w:val="single" w:color="auto" w:sz="4" w:space="0"/>
              <w:right w:val="single" w:color="auto" w:sz="4" w:space="0"/>
            </w:tcBorders>
            <w:vAlign w:val="top"/>
          </w:tcPr>
          <w:p w14:paraId="5147E3A1">
            <w:pPr>
              <w:pStyle w:val="44"/>
              <w:rPr>
                <w:rFonts w:eastAsia="仿宋"/>
                <w:sz w:val="24"/>
              </w:rPr>
            </w:pPr>
          </w:p>
        </w:tc>
      </w:tr>
      <w:tr w14:paraId="7991DB7C">
        <w:tblPrEx>
          <w:tblCellMar>
            <w:top w:w="20" w:type="dxa"/>
            <w:left w:w="20" w:type="dxa"/>
            <w:bottom w:w="0" w:type="dxa"/>
            <w:right w:w="20" w:type="dxa"/>
          </w:tblCellMar>
        </w:tblPrEx>
        <w:trPr>
          <w:trHeight w:val="594" w:hRule="atLeast"/>
          <w:jc w:val="center"/>
        </w:trPr>
        <w:tc>
          <w:tcPr>
            <w:tcW w:w="2130"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50FE2CD9">
            <w:pPr>
              <w:pStyle w:val="44"/>
              <w:rPr>
                <w:rFonts w:eastAsia="仿宋"/>
                <w:sz w:val="24"/>
              </w:rPr>
            </w:pPr>
            <w:r>
              <w:rPr>
                <w:rFonts w:eastAsia="仿宋"/>
                <w:sz w:val="24"/>
              </w:rPr>
              <w:t xml:space="preserve"> </w:t>
            </w: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30643E38">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7B52A5F2">
            <w:pPr>
              <w:pStyle w:val="44"/>
              <w:rPr>
                <w:rFonts w:eastAsia="仿宋"/>
                <w:sz w:val="24"/>
              </w:rPr>
            </w:pPr>
          </w:p>
        </w:tc>
        <w:tc>
          <w:tcPr>
            <w:tcW w:w="2356" w:type="dxa"/>
            <w:tcBorders>
              <w:top w:val="nil"/>
              <w:left w:val="nil"/>
              <w:bottom w:val="single" w:color="auto" w:sz="4" w:space="0"/>
              <w:right w:val="single" w:color="auto" w:sz="4" w:space="0"/>
            </w:tcBorders>
            <w:vAlign w:val="top"/>
          </w:tcPr>
          <w:p w14:paraId="736A551A">
            <w:pPr>
              <w:pStyle w:val="44"/>
              <w:rPr>
                <w:rFonts w:eastAsia="仿宋"/>
                <w:sz w:val="24"/>
              </w:rPr>
            </w:pPr>
          </w:p>
        </w:tc>
      </w:tr>
      <w:tr w14:paraId="79E6B07B">
        <w:tblPrEx>
          <w:tblCellMar>
            <w:top w:w="20" w:type="dxa"/>
            <w:left w:w="20" w:type="dxa"/>
            <w:bottom w:w="0" w:type="dxa"/>
            <w:right w:w="20" w:type="dxa"/>
          </w:tblCellMar>
        </w:tblPrEx>
        <w:trPr>
          <w:trHeight w:val="594" w:hRule="atLeast"/>
          <w:jc w:val="center"/>
        </w:trPr>
        <w:tc>
          <w:tcPr>
            <w:tcW w:w="2130" w:type="dxa"/>
            <w:vMerge w:val="continue"/>
            <w:tcBorders>
              <w:left w:val="single" w:color="auto" w:sz="4" w:space="0"/>
              <w:right w:val="single" w:color="auto" w:sz="4" w:space="0"/>
            </w:tcBorders>
            <w:tcMar>
              <w:top w:w="20" w:type="dxa"/>
              <w:left w:w="20" w:type="dxa"/>
              <w:bottom w:w="0" w:type="dxa"/>
              <w:right w:w="20" w:type="dxa"/>
            </w:tcMar>
            <w:vAlign w:val="center"/>
          </w:tcPr>
          <w:p w14:paraId="301F5892">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7BD0B372">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06496987">
            <w:pPr>
              <w:pStyle w:val="44"/>
              <w:rPr>
                <w:rFonts w:eastAsia="仿宋"/>
                <w:sz w:val="24"/>
              </w:rPr>
            </w:pPr>
          </w:p>
        </w:tc>
        <w:tc>
          <w:tcPr>
            <w:tcW w:w="2356" w:type="dxa"/>
            <w:tcBorders>
              <w:top w:val="nil"/>
              <w:left w:val="nil"/>
              <w:bottom w:val="single" w:color="auto" w:sz="4" w:space="0"/>
              <w:right w:val="single" w:color="auto" w:sz="4" w:space="0"/>
            </w:tcBorders>
            <w:vAlign w:val="top"/>
          </w:tcPr>
          <w:p w14:paraId="4819DED6">
            <w:pPr>
              <w:pStyle w:val="44"/>
              <w:rPr>
                <w:rFonts w:eastAsia="仿宋"/>
                <w:sz w:val="24"/>
              </w:rPr>
            </w:pPr>
          </w:p>
        </w:tc>
      </w:tr>
      <w:tr w14:paraId="418942B4">
        <w:tblPrEx>
          <w:tblCellMar>
            <w:top w:w="20" w:type="dxa"/>
            <w:left w:w="20" w:type="dxa"/>
            <w:bottom w:w="0" w:type="dxa"/>
            <w:right w:w="20" w:type="dxa"/>
          </w:tblCellMar>
        </w:tblPrEx>
        <w:trPr>
          <w:trHeight w:val="609" w:hRule="atLeast"/>
          <w:jc w:val="center"/>
        </w:trPr>
        <w:tc>
          <w:tcPr>
            <w:tcW w:w="2130" w:type="dxa"/>
            <w:vMerge w:val="continue"/>
            <w:tcBorders>
              <w:left w:val="single" w:color="auto" w:sz="4" w:space="0"/>
              <w:right w:val="single" w:color="auto" w:sz="4" w:space="0"/>
            </w:tcBorders>
            <w:tcMar>
              <w:top w:w="20" w:type="dxa"/>
              <w:left w:w="20" w:type="dxa"/>
              <w:bottom w:w="0" w:type="dxa"/>
              <w:right w:w="20" w:type="dxa"/>
            </w:tcMar>
            <w:vAlign w:val="center"/>
          </w:tcPr>
          <w:p w14:paraId="1776888C">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556D97E6">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2D426DB0">
            <w:pPr>
              <w:pStyle w:val="44"/>
              <w:rPr>
                <w:rFonts w:eastAsia="仿宋"/>
                <w:sz w:val="24"/>
              </w:rPr>
            </w:pPr>
          </w:p>
        </w:tc>
        <w:tc>
          <w:tcPr>
            <w:tcW w:w="2356" w:type="dxa"/>
            <w:tcBorders>
              <w:top w:val="nil"/>
              <w:left w:val="nil"/>
              <w:bottom w:val="single" w:color="auto" w:sz="4" w:space="0"/>
              <w:right w:val="single" w:color="auto" w:sz="4" w:space="0"/>
            </w:tcBorders>
            <w:vAlign w:val="top"/>
          </w:tcPr>
          <w:p w14:paraId="37A0A117">
            <w:pPr>
              <w:pStyle w:val="44"/>
              <w:rPr>
                <w:rFonts w:eastAsia="仿宋"/>
                <w:sz w:val="24"/>
              </w:rPr>
            </w:pPr>
          </w:p>
        </w:tc>
      </w:tr>
      <w:tr w14:paraId="0C40A0AA">
        <w:tblPrEx>
          <w:tblCellMar>
            <w:top w:w="20" w:type="dxa"/>
            <w:left w:w="20" w:type="dxa"/>
            <w:bottom w:w="0" w:type="dxa"/>
            <w:right w:w="20" w:type="dxa"/>
          </w:tblCellMar>
        </w:tblPrEx>
        <w:trPr>
          <w:trHeight w:val="609" w:hRule="atLeast"/>
          <w:jc w:val="center"/>
        </w:trPr>
        <w:tc>
          <w:tcPr>
            <w:tcW w:w="2130" w:type="dxa"/>
            <w:vMerge w:val="continue"/>
            <w:tcBorders>
              <w:left w:val="single" w:color="auto" w:sz="4" w:space="0"/>
              <w:right w:val="single" w:color="auto" w:sz="4" w:space="0"/>
            </w:tcBorders>
            <w:tcMar>
              <w:top w:w="20" w:type="dxa"/>
              <w:left w:w="20" w:type="dxa"/>
              <w:bottom w:w="0" w:type="dxa"/>
              <w:right w:w="20" w:type="dxa"/>
            </w:tcMar>
            <w:vAlign w:val="center"/>
          </w:tcPr>
          <w:p w14:paraId="11446B93">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1B268609">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09546701">
            <w:pPr>
              <w:pStyle w:val="44"/>
              <w:rPr>
                <w:rFonts w:eastAsia="仿宋"/>
                <w:sz w:val="24"/>
              </w:rPr>
            </w:pPr>
          </w:p>
        </w:tc>
        <w:tc>
          <w:tcPr>
            <w:tcW w:w="2356" w:type="dxa"/>
            <w:tcBorders>
              <w:top w:val="nil"/>
              <w:left w:val="nil"/>
              <w:bottom w:val="single" w:color="auto" w:sz="4" w:space="0"/>
              <w:right w:val="single" w:color="auto" w:sz="4" w:space="0"/>
            </w:tcBorders>
            <w:vAlign w:val="top"/>
          </w:tcPr>
          <w:p w14:paraId="245AF549">
            <w:pPr>
              <w:pStyle w:val="44"/>
              <w:rPr>
                <w:rFonts w:eastAsia="仿宋"/>
                <w:sz w:val="24"/>
              </w:rPr>
            </w:pPr>
          </w:p>
        </w:tc>
      </w:tr>
      <w:tr w14:paraId="3AAD9BE4">
        <w:tblPrEx>
          <w:tblCellMar>
            <w:top w:w="20" w:type="dxa"/>
            <w:left w:w="20" w:type="dxa"/>
            <w:bottom w:w="0" w:type="dxa"/>
            <w:right w:w="20" w:type="dxa"/>
          </w:tblCellMar>
        </w:tblPrEx>
        <w:trPr>
          <w:trHeight w:val="609" w:hRule="atLeast"/>
          <w:jc w:val="center"/>
        </w:trPr>
        <w:tc>
          <w:tcPr>
            <w:tcW w:w="2130"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14:paraId="36270C44">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65B2AF4A">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56085EA5">
            <w:pPr>
              <w:pStyle w:val="44"/>
              <w:rPr>
                <w:rFonts w:eastAsia="仿宋"/>
                <w:sz w:val="24"/>
              </w:rPr>
            </w:pPr>
          </w:p>
        </w:tc>
        <w:tc>
          <w:tcPr>
            <w:tcW w:w="2356" w:type="dxa"/>
            <w:tcBorders>
              <w:top w:val="nil"/>
              <w:left w:val="nil"/>
              <w:bottom w:val="single" w:color="auto" w:sz="4" w:space="0"/>
              <w:right w:val="single" w:color="auto" w:sz="4" w:space="0"/>
            </w:tcBorders>
            <w:vAlign w:val="top"/>
          </w:tcPr>
          <w:p w14:paraId="752D598C">
            <w:pPr>
              <w:pStyle w:val="44"/>
              <w:rPr>
                <w:rFonts w:eastAsia="仿宋"/>
                <w:sz w:val="24"/>
              </w:rPr>
            </w:pPr>
          </w:p>
        </w:tc>
      </w:tr>
      <w:tr w14:paraId="08076EE4">
        <w:tblPrEx>
          <w:tblCellMar>
            <w:top w:w="20" w:type="dxa"/>
            <w:left w:w="20" w:type="dxa"/>
            <w:bottom w:w="0" w:type="dxa"/>
            <w:right w:w="20" w:type="dxa"/>
          </w:tblCellMar>
        </w:tblPrEx>
        <w:trPr>
          <w:trHeight w:val="609" w:hRule="atLeast"/>
          <w:jc w:val="center"/>
        </w:trPr>
        <w:tc>
          <w:tcPr>
            <w:tcW w:w="2130" w:type="dxa"/>
            <w:vMerge w:val="restart"/>
            <w:tcBorders>
              <w:top w:val="nil"/>
              <w:left w:val="single" w:color="auto" w:sz="4" w:space="0"/>
              <w:right w:val="single" w:color="auto" w:sz="4" w:space="0"/>
            </w:tcBorders>
            <w:tcMar>
              <w:top w:w="20" w:type="dxa"/>
              <w:left w:w="20" w:type="dxa"/>
              <w:bottom w:w="0" w:type="dxa"/>
              <w:right w:w="20" w:type="dxa"/>
            </w:tcMar>
            <w:vAlign w:val="center"/>
          </w:tcPr>
          <w:p w14:paraId="52B864A9">
            <w:pPr>
              <w:pStyle w:val="44"/>
              <w:rPr>
                <w:rFonts w:eastAsia="仿宋"/>
                <w:sz w:val="24"/>
              </w:rPr>
            </w:pPr>
          </w:p>
          <w:p w14:paraId="249970E3">
            <w:pPr>
              <w:pStyle w:val="44"/>
              <w:rPr>
                <w:rFonts w:eastAsia="仿宋"/>
                <w:sz w:val="24"/>
              </w:rPr>
            </w:pPr>
            <w:r>
              <w:rPr>
                <w:rFonts w:eastAsia="仿宋"/>
                <w:sz w:val="24"/>
              </w:rPr>
              <w:t xml:space="preserve"> </w:t>
            </w: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308AADC2">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3F87966A">
            <w:pPr>
              <w:pStyle w:val="44"/>
              <w:rPr>
                <w:rFonts w:eastAsia="仿宋"/>
                <w:sz w:val="24"/>
              </w:rPr>
            </w:pPr>
          </w:p>
        </w:tc>
        <w:tc>
          <w:tcPr>
            <w:tcW w:w="2356" w:type="dxa"/>
            <w:tcBorders>
              <w:top w:val="nil"/>
              <w:left w:val="nil"/>
              <w:bottom w:val="single" w:color="auto" w:sz="4" w:space="0"/>
              <w:right w:val="single" w:color="auto" w:sz="4" w:space="0"/>
            </w:tcBorders>
            <w:vAlign w:val="top"/>
          </w:tcPr>
          <w:p w14:paraId="25B0C811">
            <w:pPr>
              <w:pStyle w:val="44"/>
              <w:rPr>
                <w:rFonts w:eastAsia="仿宋"/>
                <w:sz w:val="24"/>
              </w:rPr>
            </w:pPr>
          </w:p>
        </w:tc>
      </w:tr>
      <w:tr w14:paraId="6ABF7211">
        <w:tblPrEx>
          <w:tblCellMar>
            <w:top w:w="20" w:type="dxa"/>
            <w:left w:w="20" w:type="dxa"/>
            <w:bottom w:w="0" w:type="dxa"/>
            <w:right w:w="20" w:type="dxa"/>
          </w:tblCellMar>
        </w:tblPrEx>
        <w:trPr>
          <w:trHeight w:val="609" w:hRule="atLeast"/>
          <w:jc w:val="center"/>
        </w:trPr>
        <w:tc>
          <w:tcPr>
            <w:tcW w:w="2130" w:type="dxa"/>
            <w:vMerge w:val="continue"/>
            <w:tcBorders>
              <w:left w:val="single" w:color="auto" w:sz="4" w:space="0"/>
              <w:right w:val="single" w:color="auto" w:sz="4" w:space="0"/>
            </w:tcBorders>
            <w:tcMar>
              <w:top w:w="20" w:type="dxa"/>
              <w:left w:w="20" w:type="dxa"/>
              <w:bottom w:w="0" w:type="dxa"/>
              <w:right w:w="20" w:type="dxa"/>
            </w:tcMar>
            <w:vAlign w:val="center"/>
          </w:tcPr>
          <w:p w14:paraId="467591BE">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6E2BFB25">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729784B5">
            <w:pPr>
              <w:pStyle w:val="44"/>
              <w:rPr>
                <w:rFonts w:eastAsia="仿宋"/>
                <w:sz w:val="24"/>
              </w:rPr>
            </w:pPr>
          </w:p>
        </w:tc>
        <w:tc>
          <w:tcPr>
            <w:tcW w:w="2356" w:type="dxa"/>
            <w:tcBorders>
              <w:top w:val="nil"/>
              <w:left w:val="nil"/>
              <w:bottom w:val="single" w:color="auto" w:sz="4" w:space="0"/>
              <w:right w:val="single" w:color="auto" w:sz="4" w:space="0"/>
            </w:tcBorders>
            <w:vAlign w:val="top"/>
          </w:tcPr>
          <w:p w14:paraId="67B23DD2">
            <w:pPr>
              <w:pStyle w:val="44"/>
              <w:rPr>
                <w:rFonts w:eastAsia="仿宋"/>
                <w:sz w:val="24"/>
              </w:rPr>
            </w:pPr>
          </w:p>
        </w:tc>
      </w:tr>
      <w:tr w14:paraId="23CC37AF">
        <w:tblPrEx>
          <w:tblCellMar>
            <w:top w:w="20" w:type="dxa"/>
            <w:left w:w="20" w:type="dxa"/>
            <w:bottom w:w="0" w:type="dxa"/>
            <w:right w:w="20" w:type="dxa"/>
          </w:tblCellMar>
        </w:tblPrEx>
        <w:trPr>
          <w:trHeight w:val="609" w:hRule="atLeast"/>
          <w:jc w:val="center"/>
        </w:trPr>
        <w:tc>
          <w:tcPr>
            <w:tcW w:w="2130" w:type="dxa"/>
            <w:vMerge w:val="continue"/>
            <w:tcBorders>
              <w:left w:val="single" w:color="auto" w:sz="4" w:space="0"/>
              <w:right w:val="single" w:color="auto" w:sz="4" w:space="0"/>
            </w:tcBorders>
            <w:tcMar>
              <w:top w:w="20" w:type="dxa"/>
              <w:left w:w="20" w:type="dxa"/>
              <w:bottom w:w="0" w:type="dxa"/>
              <w:right w:w="20" w:type="dxa"/>
            </w:tcMar>
            <w:vAlign w:val="center"/>
          </w:tcPr>
          <w:p w14:paraId="11D836F9">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111DE5CF">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08FFADCE">
            <w:pPr>
              <w:pStyle w:val="44"/>
              <w:rPr>
                <w:rFonts w:eastAsia="仿宋"/>
                <w:sz w:val="24"/>
              </w:rPr>
            </w:pPr>
          </w:p>
        </w:tc>
        <w:tc>
          <w:tcPr>
            <w:tcW w:w="2356" w:type="dxa"/>
            <w:tcBorders>
              <w:top w:val="nil"/>
              <w:left w:val="nil"/>
              <w:bottom w:val="single" w:color="auto" w:sz="4" w:space="0"/>
              <w:right w:val="single" w:color="auto" w:sz="4" w:space="0"/>
            </w:tcBorders>
            <w:vAlign w:val="top"/>
          </w:tcPr>
          <w:p w14:paraId="5FEDEB13">
            <w:pPr>
              <w:pStyle w:val="44"/>
              <w:rPr>
                <w:rFonts w:eastAsia="仿宋"/>
                <w:sz w:val="24"/>
              </w:rPr>
            </w:pPr>
          </w:p>
        </w:tc>
      </w:tr>
      <w:tr w14:paraId="7D0C5DD3">
        <w:tblPrEx>
          <w:tblCellMar>
            <w:top w:w="20" w:type="dxa"/>
            <w:left w:w="20" w:type="dxa"/>
            <w:bottom w:w="0" w:type="dxa"/>
            <w:right w:w="20" w:type="dxa"/>
          </w:tblCellMar>
        </w:tblPrEx>
        <w:trPr>
          <w:trHeight w:val="609" w:hRule="atLeast"/>
          <w:jc w:val="center"/>
        </w:trPr>
        <w:tc>
          <w:tcPr>
            <w:tcW w:w="2130"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14:paraId="1063823D">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4AE8569A">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0855EAF3">
            <w:pPr>
              <w:pStyle w:val="44"/>
              <w:rPr>
                <w:rFonts w:eastAsia="仿宋"/>
                <w:sz w:val="24"/>
              </w:rPr>
            </w:pPr>
          </w:p>
        </w:tc>
        <w:tc>
          <w:tcPr>
            <w:tcW w:w="2356" w:type="dxa"/>
            <w:tcBorders>
              <w:top w:val="nil"/>
              <w:left w:val="nil"/>
              <w:bottom w:val="single" w:color="auto" w:sz="4" w:space="0"/>
              <w:right w:val="single" w:color="auto" w:sz="4" w:space="0"/>
            </w:tcBorders>
            <w:vAlign w:val="top"/>
          </w:tcPr>
          <w:p w14:paraId="392B4CA4">
            <w:pPr>
              <w:pStyle w:val="44"/>
              <w:rPr>
                <w:rFonts w:eastAsia="仿宋"/>
                <w:sz w:val="24"/>
              </w:rPr>
            </w:pPr>
          </w:p>
        </w:tc>
      </w:tr>
      <w:tr w14:paraId="2851D38B">
        <w:tblPrEx>
          <w:tblCellMar>
            <w:top w:w="20" w:type="dxa"/>
            <w:left w:w="20" w:type="dxa"/>
            <w:bottom w:w="0" w:type="dxa"/>
            <w:right w:w="20" w:type="dxa"/>
          </w:tblCellMar>
        </w:tblPrEx>
        <w:trPr>
          <w:trHeight w:val="609" w:hRule="atLeast"/>
          <w:jc w:val="center"/>
        </w:trPr>
        <w:tc>
          <w:tcPr>
            <w:tcW w:w="2130" w:type="dxa"/>
            <w:vMerge w:val="restart"/>
            <w:tcBorders>
              <w:left w:val="single" w:color="auto" w:sz="4" w:space="0"/>
              <w:right w:val="single" w:color="auto" w:sz="4" w:space="0"/>
            </w:tcBorders>
            <w:tcMar>
              <w:top w:w="20" w:type="dxa"/>
              <w:left w:w="20" w:type="dxa"/>
              <w:bottom w:w="0" w:type="dxa"/>
              <w:right w:w="20" w:type="dxa"/>
            </w:tcMar>
            <w:vAlign w:val="center"/>
          </w:tcPr>
          <w:p w14:paraId="5F88008D">
            <w:pPr>
              <w:pStyle w:val="44"/>
              <w:rPr>
                <w:rFonts w:eastAsia="仿宋"/>
                <w:sz w:val="24"/>
              </w:rPr>
            </w:pPr>
            <w:r>
              <w:rPr>
                <w:rFonts w:eastAsia="仿宋"/>
                <w:sz w:val="24"/>
              </w:rPr>
              <w:t>**********</w:t>
            </w: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17A7DFC9">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7D7C637D">
            <w:pPr>
              <w:pStyle w:val="44"/>
              <w:rPr>
                <w:rFonts w:eastAsia="仿宋"/>
                <w:sz w:val="24"/>
              </w:rPr>
            </w:pPr>
          </w:p>
        </w:tc>
        <w:tc>
          <w:tcPr>
            <w:tcW w:w="2356" w:type="dxa"/>
            <w:tcBorders>
              <w:top w:val="nil"/>
              <w:left w:val="nil"/>
              <w:bottom w:val="single" w:color="auto" w:sz="4" w:space="0"/>
              <w:right w:val="single" w:color="auto" w:sz="4" w:space="0"/>
            </w:tcBorders>
            <w:vAlign w:val="top"/>
          </w:tcPr>
          <w:p w14:paraId="4A57A184">
            <w:pPr>
              <w:pStyle w:val="44"/>
              <w:rPr>
                <w:rFonts w:eastAsia="仿宋"/>
                <w:sz w:val="24"/>
              </w:rPr>
            </w:pPr>
          </w:p>
        </w:tc>
      </w:tr>
      <w:tr w14:paraId="31B151FC">
        <w:tblPrEx>
          <w:tblCellMar>
            <w:top w:w="20" w:type="dxa"/>
            <w:left w:w="20" w:type="dxa"/>
            <w:bottom w:w="0" w:type="dxa"/>
            <w:right w:w="20" w:type="dxa"/>
          </w:tblCellMar>
        </w:tblPrEx>
        <w:trPr>
          <w:trHeight w:val="609" w:hRule="atLeast"/>
          <w:jc w:val="center"/>
        </w:trPr>
        <w:tc>
          <w:tcPr>
            <w:tcW w:w="2130" w:type="dxa"/>
            <w:vMerge w:val="continue"/>
            <w:tcBorders>
              <w:left w:val="single" w:color="auto" w:sz="4" w:space="0"/>
              <w:bottom w:val="single" w:color="auto" w:sz="4" w:space="0"/>
              <w:right w:val="single" w:color="auto" w:sz="4" w:space="0"/>
            </w:tcBorders>
            <w:tcMar>
              <w:top w:w="20" w:type="dxa"/>
              <w:left w:w="20" w:type="dxa"/>
              <w:bottom w:w="0" w:type="dxa"/>
              <w:right w:w="20" w:type="dxa"/>
            </w:tcMar>
            <w:vAlign w:val="center"/>
          </w:tcPr>
          <w:p w14:paraId="4F365468">
            <w:pPr>
              <w:pStyle w:val="44"/>
              <w:rPr>
                <w:rFonts w:eastAsia="仿宋"/>
                <w:sz w:val="24"/>
              </w:rPr>
            </w:pP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7CCFA229">
            <w:pPr>
              <w:pStyle w:val="44"/>
              <w:rPr>
                <w:rFonts w:eastAsia="仿宋"/>
                <w:sz w:val="24"/>
              </w:rPr>
            </w:pP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4F02DCB9">
            <w:pPr>
              <w:pStyle w:val="44"/>
              <w:rPr>
                <w:rFonts w:eastAsia="仿宋"/>
                <w:sz w:val="24"/>
              </w:rPr>
            </w:pPr>
          </w:p>
        </w:tc>
        <w:tc>
          <w:tcPr>
            <w:tcW w:w="2356" w:type="dxa"/>
            <w:tcBorders>
              <w:top w:val="nil"/>
              <w:left w:val="nil"/>
              <w:bottom w:val="single" w:color="auto" w:sz="4" w:space="0"/>
              <w:right w:val="single" w:color="auto" w:sz="4" w:space="0"/>
            </w:tcBorders>
            <w:vAlign w:val="top"/>
          </w:tcPr>
          <w:p w14:paraId="4FEFA3D0">
            <w:pPr>
              <w:pStyle w:val="44"/>
              <w:rPr>
                <w:rFonts w:eastAsia="仿宋"/>
                <w:sz w:val="24"/>
              </w:rPr>
            </w:pPr>
          </w:p>
        </w:tc>
      </w:tr>
      <w:tr w14:paraId="0A9C54BE">
        <w:tblPrEx>
          <w:tblCellMar>
            <w:top w:w="20" w:type="dxa"/>
            <w:left w:w="20" w:type="dxa"/>
            <w:bottom w:w="0" w:type="dxa"/>
            <w:right w:w="20" w:type="dxa"/>
          </w:tblCellMar>
        </w:tblPrEx>
        <w:trPr>
          <w:trHeight w:val="629" w:hRule="atLeast"/>
          <w:jc w:val="center"/>
        </w:trPr>
        <w:tc>
          <w:tcPr>
            <w:tcW w:w="213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549B34DD">
            <w:pPr>
              <w:pStyle w:val="44"/>
              <w:jc w:val="center"/>
              <w:rPr>
                <w:rFonts w:eastAsia="仿宋"/>
                <w:sz w:val="24"/>
              </w:rPr>
            </w:pPr>
            <w:r>
              <w:rPr>
                <w:rFonts w:eastAsia="仿宋"/>
                <w:sz w:val="24"/>
              </w:rPr>
              <w:t>合计</w:t>
            </w:r>
          </w:p>
        </w:tc>
        <w:tc>
          <w:tcPr>
            <w:tcW w:w="2703" w:type="dxa"/>
            <w:tcBorders>
              <w:top w:val="nil"/>
              <w:left w:val="nil"/>
              <w:bottom w:val="single" w:color="auto" w:sz="4" w:space="0"/>
              <w:right w:val="single" w:color="auto" w:sz="4" w:space="0"/>
            </w:tcBorders>
            <w:tcMar>
              <w:top w:w="20" w:type="dxa"/>
              <w:left w:w="20" w:type="dxa"/>
              <w:bottom w:w="0" w:type="dxa"/>
              <w:right w:w="20" w:type="dxa"/>
            </w:tcMar>
            <w:vAlign w:val="center"/>
          </w:tcPr>
          <w:p w14:paraId="21C52467">
            <w:pPr>
              <w:pStyle w:val="44"/>
              <w:rPr>
                <w:rFonts w:eastAsia="仿宋"/>
                <w:sz w:val="24"/>
              </w:rPr>
            </w:pPr>
            <w:r>
              <w:rPr>
                <w:rFonts w:eastAsia="仿宋"/>
                <w:sz w:val="24"/>
              </w:rPr>
              <w:t xml:space="preserve">          </w:t>
            </w:r>
          </w:p>
        </w:tc>
        <w:tc>
          <w:tcPr>
            <w:tcW w:w="1848" w:type="dxa"/>
            <w:tcBorders>
              <w:top w:val="nil"/>
              <w:left w:val="nil"/>
              <w:bottom w:val="single" w:color="auto" w:sz="4" w:space="0"/>
              <w:right w:val="single" w:color="auto" w:sz="4" w:space="0"/>
            </w:tcBorders>
            <w:tcMar>
              <w:top w:w="20" w:type="dxa"/>
              <w:left w:w="20" w:type="dxa"/>
              <w:bottom w:w="0" w:type="dxa"/>
              <w:right w:w="20" w:type="dxa"/>
            </w:tcMar>
            <w:vAlign w:val="center"/>
          </w:tcPr>
          <w:p w14:paraId="55F0CF2B">
            <w:pPr>
              <w:pStyle w:val="44"/>
              <w:rPr>
                <w:rFonts w:eastAsia="仿宋"/>
                <w:sz w:val="24"/>
              </w:rPr>
            </w:pPr>
          </w:p>
        </w:tc>
        <w:tc>
          <w:tcPr>
            <w:tcW w:w="2356" w:type="dxa"/>
            <w:tcBorders>
              <w:top w:val="nil"/>
              <w:left w:val="nil"/>
              <w:bottom w:val="single" w:color="auto" w:sz="4" w:space="0"/>
              <w:right w:val="single" w:color="auto" w:sz="4" w:space="0"/>
            </w:tcBorders>
            <w:vAlign w:val="top"/>
          </w:tcPr>
          <w:p w14:paraId="54F17430">
            <w:pPr>
              <w:pStyle w:val="44"/>
              <w:rPr>
                <w:rFonts w:eastAsia="仿宋"/>
                <w:sz w:val="24"/>
              </w:rPr>
            </w:pPr>
          </w:p>
        </w:tc>
      </w:tr>
    </w:tbl>
    <w:p w14:paraId="117F209F">
      <w:pPr>
        <w:snapToGrid w:val="0"/>
        <w:spacing w:line="360" w:lineRule="auto"/>
        <w:rPr>
          <w:rFonts w:hint="eastAsia" w:ascii="仿宋" w:hAnsi="仿宋" w:eastAsia="仿宋"/>
          <w:sz w:val="24"/>
        </w:rPr>
      </w:pPr>
    </w:p>
    <w:p w14:paraId="75DEE09D">
      <w:pPr>
        <w:pStyle w:val="5"/>
        <w:wordWrap w:val="0"/>
        <w:topLinePunct/>
        <w:spacing w:line="500" w:lineRule="exact"/>
        <w:jc w:val="left"/>
        <w:rPr>
          <w:rFonts w:hint="eastAsia" w:ascii="仿宋" w:hAnsi="仿宋" w:eastAsia="仿宋"/>
        </w:rPr>
      </w:pPr>
      <w:r>
        <w:rPr>
          <w:rFonts w:hint="eastAsia" w:ascii="仿宋" w:hAnsi="仿宋" w:eastAsia="仿宋"/>
        </w:rPr>
        <w:br w:type="page"/>
      </w:r>
      <w:r>
        <w:rPr>
          <w:rFonts w:hint="eastAsia" w:ascii="仿宋" w:hAnsi="仿宋" w:eastAsia="仿宋"/>
        </w:rPr>
        <w:t>六、</w:t>
      </w:r>
      <w:r>
        <w:rPr>
          <w:rFonts w:eastAsia="仿宋"/>
        </w:rPr>
        <w:t>为本项目拟配备的主要设备清单（如有）</w:t>
      </w:r>
    </w:p>
    <w:p w14:paraId="34198836">
      <w:pPr>
        <w:spacing w:line="360" w:lineRule="auto"/>
        <w:jc w:val="center"/>
        <w:rPr>
          <w:rFonts w:eastAsia="仿宋"/>
          <w:b/>
          <w:sz w:val="28"/>
          <w:szCs w:val="28"/>
        </w:rPr>
      </w:pPr>
      <w:r>
        <w:rPr>
          <w:rFonts w:eastAsia="仿宋"/>
          <w:b/>
          <w:sz w:val="28"/>
          <w:szCs w:val="28"/>
        </w:rPr>
        <w:t>为本项目拟配备的主要设备清单</w:t>
      </w:r>
    </w:p>
    <w:tbl>
      <w:tblPr>
        <w:tblStyle w:val="2"/>
        <w:tblW w:w="8378" w:type="dxa"/>
        <w:tblInd w:w="-20" w:type="dxa"/>
        <w:tblLayout w:type="fixed"/>
        <w:tblCellMar>
          <w:top w:w="20" w:type="dxa"/>
          <w:left w:w="20" w:type="dxa"/>
          <w:bottom w:w="0" w:type="dxa"/>
          <w:right w:w="20" w:type="dxa"/>
        </w:tblCellMar>
      </w:tblPr>
      <w:tblGrid>
        <w:gridCol w:w="793"/>
        <w:gridCol w:w="945"/>
        <w:gridCol w:w="945"/>
        <w:gridCol w:w="2339"/>
        <w:gridCol w:w="1405"/>
        <w:gridCol w:w="1951"/>
      </w:tblGrid>
      <w:tr w14:paraId="543BA465">
        <w:tblPrEx>
          <w:tblCellMar>
            <w:top w:w="20" w:type="dxa"/>
            <w:left w:w="20" w:type="dxa"/>
            <w:bottom w:w="0" w:type="dxa"/>
            <w:right w:w="20" w:type="dxa"/>
          </w:tblCellMar>
        </w:tblPrEx>
        <w:trPr>
          <w:trHeight w:val="677" w:hRule="atLeast"/>
        </w:trPr>
        <w:tc>
          <w:tcPr>
            <w:tcW w:w="79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19511C74">
            <w:pPr>
              <w:pStyle w:val="44"/>
              <w:jc w:val="center"/>
              <w:rPr>
                <w:rFonts w:eastAsia="仿宋"/>
                <w:sz w:val="24"/>
              </w:rPr>
            </w:pPr>
            <w:r>
              <w:rPr>
                <w:rFonts w:eastAsia="仿宋"/>
                <w:sz w:val="24"/>
              </w:rPr>
              <w:t>序号</w:t>
            </w:r>
          </w:p>
        </w:tc>
        <w:tc>
          <w:tcPr>
            <w:tcW w:w="945" w:type="dxa"/>
            <w:tcBorders>
              <w:top w:val="single" w:color="auto" w:sz="4" w:space="0"/>
              <w:left w:val="single" w:color="auto" w:sz="4" w:space="0"/>
              <w:bottom w:val="single" w:color="auto" w:sz="4" w:space="0"/>
              <w:right w:val="single" w:color="auto" w:sz="4" w:space="0"/>
            </w:tcBorders>
            <w:vAlign w:val="center"/>
          </w:tcPr>
          <w:p w14:paraId="354B9DF4">
            <w:pPr>
              <w:pStyle w:val="44"/>
              <w:jc w:val="center"/>
              <w:rPr>
                <w:rFonts w:eastAsia="仿宋"/>
                <w:sz w:val="24"/>
              </w:rPr>
            </w:pPr>
            <w:r>
              <w:rPr>
                <w:rFonts w:eastAsia="仿宋"/>
                <w:sz w:val="24"/>
              </w:rPr>
              <w:t>类型</w:t>
            </w:r>
          </w:p>
        </w:tc>
        <w:tc>
          <w:tcPr>
            <w:tcW w:w="945" w:type="dxa"/>
            <w:tcBorders>
              <w:top w:val="single" w:color="auto" w:sz="4" w:space="0"/>
              <w:left w:val="single" w:color="auto" w:sz="4" w:space="0"/>
              <w:bottom w:val="single" w:color="auto" w:sz="4" w:space="0"/>
              <w:right w:val="single" w:color="auto" w:sz="4" w:space="0"/>
            </w:tcBorders>
            <w:vAlign w:val="center"/>
          </w:tcPr>
          <w:p w14:paraId="2C28847A">
            <w:pPr>
              <w:pStyle w:val="44"/>
              <w:jc w:val="center"/>
              <w:rPr>
                <w:rFonts w:eastAsia="仿宋"/>
                <w:sz w:val="24"/>
              </w:rPr>
            </w:pPr>
            <w:r>
              <w:rPr>
                <w:rFonts w:eastAsia="仿宋"/>
                <w:sz w:val="24"/>
              </w:rPr>
              <w:t>设备名称</w:t>
            </w:r>
          </w:p>
        </w:tc>
        <w:tc>
          <w:tcPr>
            <w:tcW w:w="233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7A37FEE">
            <w:pPr>
              <w:pStyle w:val="44"/>
              <w:jc w:val="center"/>
              <w:rPr>
                <w:rFonts w:eastAsia="仿宋"/>
                <w:sz w:val="24"/>
              </w:rPr>
            </w:pPr>
            <w:r>
              <w:rPr>
                <w:rFonts w:eastAsia="仿宋"/>
                <w:sz w:val="24"/>
              </w:rPr>
              <w:t>数量</w:t>
            </w:r>
          </w:p>
        </w:tc>
        <w:tc>
          <w:tcPr>
            <w:tcW w:w="1405" w:type="dxa"/>
            <w:tcBorders>
              <w:top w:val="single" w:color="auto" w:sz="4" w:space="0"/>
              <w:left w:val="nil"/>
              <w:bottom w:val="single" w:color="auto" w:sz="4" w:space="0"/>
              <w:right w:val="single" w:color="auto" w:sz="4" w:space="0"/>
            </w:tcBorders>
            <w:vAlign w:val="center"/>
          </w:tcPr>
          <w:p w14:paraId="21D03F33">
            <w:pPr>
              <w:pStyle w:val="44"/>
              <w:jc w:val="center"/>
              <w:rPr>
                <w:rFonts w:eastAsia="仿宋"/>
                <w:sz w:val="24"/>
              </w:rPr>
            </w:pPr>
            <w:r>
              <w:rPr>
                <w:rFonts w:eastAsia="仿宋"/>
                <w:sz w:val="24"/>
              </w:rPr>
              <w:t>单位</w:t>
            </w:r>
          </w:p>
        </w:tc>
        <w:tc>
          <w:tcPr>
            <w:tcW w:w="195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1DC23B3">
            <w:pPr>
              <w:pStyle w:val="44"/>
              <w:jc w:val="center"/>
              <w:rPr>
                <w:rFonts w:eastAsia="仿宋"/>
                <w:sz w:val="24"/>
              </w:rPr>
            </w:pPr>
            <w:r>
              <w:rPr>
                <w:rFonts w:eastAsia="仿宋"/>
                <w:sz w:val="24"/>
              </w:rPr>
              <w:t>备注（设备产权性质）</w:t>
            </w:r>
          </w:p>
        </w:tc>
      </w:tr>
      <w:tr w14:paraId="1053D1C0">
        <w:tblPrEx>
          <w:tblCellMar>
            <w:top w:w="20" w:type="dxa"/>
            <w:left w:w="20" w:type="dxa"/>
            <w:bottom w:w="0" w:type="dxa"/>
            <w:right w:w="20" w:type="dxa"/>
          </w:tblCellMar>
        </w:tblPrEx>
        <w:trPr>
          <w:trHeight w:val="592" w:hRule="atLeast"/>
        </w:trPr>
        <w:tc>
          <w:tcPr>
            <w:tcW w:w="7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300DC9EC">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top"/>
          </w:tcPr>
          <w:p w14:paraId="2ED16C8F">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center"/>
          </w:tcPr>
          <w:p w14:paraId="1CE429FE">
            <w:pPr>
              <w:pStyle w:val="44"/>
              <w:rPr>
                <w:rFonts w:eastAsia="仿宋"/>
                <w:sz w:val="24"/>
              </w:rPr>
            </w:pPr>
          </w:p>
        </w:tc>
        <w:tc>
          <w:tcPr>
            <w:tcW w:w="2339" w:type="dxa"/>
            <w:tcBorders>
              <w:top w:val="nil"/>
              <w:left w:val="nil"/>
              <w:bottom w:val="single" w:color="auto" w:sz="4" w:space="0"/>
              <w:right w:val="single" w:color="auto" w:sz="4" w:space="0"/>
            </w:tcBorders>
            <w:tcMar>
              <w:top w:w="20" w:type="dxa"/>
              <w:left w:w="20" w:type="dxa"/>
              <w:bottom w:w="0" w:type="dxa"/>
              <w:right w:w="20" w:type="dxa"/>
            </w:tcMar>
            <w:vAlign w:val="center"/>
          </w:tcPr>
          <w:p w14:paraId="17D5F38A">
            <w:pPr>
              <w:pStyle w:val="44"/>
              <w:rPr>
                <w:rFonts w:eastAsia="仿宋"/>
                <w:sz w:val="24"/>
              </w:rPr>
            </w:pPr>
          </w:p>
        </w:tc>
        <w:tc>
          <w:tcPr>
            <w:tcW w:w="1405" w:type="dxa"/>
            <w:tcBorders>
              <w:top w:val="nil"/>
              <w:left w:val="nil"/>
              <w:bottom w:val="single" w:color="auto" w:sz="4" w:space="0"/>
              <w:right w:val="single" w:color="auto" w:sz="4" w:space="0"/>
            </w:tcBorders>
            <w:vAlign w:val="center"/>
          </w:tcPr>
          <w:p w14:paraId="2019ABB2">
            <w:pPr>
              <w:pStyle w:val="44"/>
              <w:rPr>
                <w:rFonts w:eastAsia="仿宋"/>
                <w:sz w:val="24"/>
              </w:rPr>
            </w:pPr>
          </w:p>
        </w:tc>
        <w:tc>
          <w:tcPr>
            <w:tcW w:w="1951" w:type="dxa"/>
            <w:tcBorders>
              <w:top w:val="nil"/>
              <w:left w:val="nil"/>
              <w:bottom w:val="single" w:color="auto" w:sz="4" w:space="0"/>
              <w:right w:val="single" w:color="auto" w:sz="4" w:space="0"/>
            </w:tcBorders>
            <w:tcMar>
              <w:top w:w="20" w:type="dxa"/>
              <w:left w:w="20" w:type="dxa"/>
              <w:bottom w:w="0" w:type="dxa"/>
              <w:right w:w="20" w:type="dxa"/>
            </w:tcMar>
            <w:vAlign w:val="center"/>
          </w:tcPr>
          <w:p w14:paraId="421A8E2B">
            <w:pPr>
              <w:pStyle w:val="44"/>
              <w:rPr>
                <w:rFonts w:eastAsia="仿宋"/>
                <w:sz w:val="24"/>
              </w:rPr>
            </w:pPr>
          </w:p>
        </w:tc>
      </w:tr>
      <w:tr w14:paraId="3E555781">
        <w:tblPrEx>
          <w:tblCellMar>
            <w:top w:w="20" w:type="dxa"/>
            <w:left w:w="20" w:type="dxa"/>
            <w:bottom w:w="0" w:type="dxa"/>
            <w:right w:w="20" w:type="dxa"/>
          </w:tblCellMar>
        </w:tblPrEx>
        <w:trPr>
          <w:trHeight w:val="592" w:hRule="atLeast"/>
        </w:trPr>
        <w:tc>
          <w:tcPr>
            <w:tcW w:w="7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02A85705">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top"/>
          </w:tcPr>
          <w:p w14:paraId="6CB9ABB9">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center"/>
          </w:tcPr>
          <w:p w14:paraId="48DA1D09">
            <w:pPr>
              <w:pStyle w:val="44"/>
              <w:rPr>
                <w:rFonts w:eastAsia="仿宋"/>
                <w:sz w:val="24"/>
              </w:rPr>
            </w:pPr>
          </w:p>
        </w:tc>
        <w:tc>
          <w:tcPr>
            <w:tcW w:w="2339" w:type="dxa"/>
            <w:tcBorders>
              <w:top w:val="nil"/>
              <w:left w:val="nil"/>
              <w:bottom w:val="single" w:color="auto" w:sz="4" w:space="0"/>
              <w:right w:val="single" w:color="auto" w:sz="4" w:space="0"/>
            </w:tcBorders>
            <w:tcMar>
              <w:top w:w="20" w:type="dxa"/>
              <w:left w:w="20" w:type="dxa"/>
              <w:bottom w:w="0" w:type="dxa"/>
              <w:right w:w="20" w:type="dxa"/>
            </w:tcMar>
            <w:vAlign w:val="center"/>
          </w:tcPr>
          <w:p w14:paraId="0B084D00">
            <w:pPr>
              <w:pStyle w:val="44"/>
              <w:rPr>
                <w:rFonts w:eastAsia="仿宋"/>
                <w:sz w:val="24"/>
              </w:rPr>
            </w:pPr>
          </w:p>
        </w:tc>
        <w:tc>
          <w:tcPr>
            <w:tcW w:w="1405" w:type="dxa"/>
            <w:tcBorders>
              <w:top w:val="nil"/>
              <w:left w:val="nil"/>
              <w:bottom w:val="single" w:color="auto" w:sz="4" w:space="0"/>
              <w:right w:val="single" w:color="auto" w:sz="4" w:space="0"/>
            </w:tcBorders>
            <w:vAlign w:val="center"/>
          </w:tcPr>
          <w:p w14:paraId="2B561504">
            <w:pPr>
              <w:pStyle w:val="44"/>
              <w:rPr>
                <w:rFonts w:eastAsia="仿宋"/>
                <w:sz w:val="24"/>
              </w:rPr>
            </w:pPr>
          </w:p>
        </w:tc>
        <w:tc>
          <w:tcPr>
            <w:tcW w:w="1951" w:type="dxa"/>
            <w:tcBorders>
              <w:top w:val="nil"/>
              <w:left w:val="nil"/>
              <w:bottom w:val="single" w:color="auto" w:sz="4" w:space="0"/>
              <w:right w:val="single" w:color="auto" w:sz="4" w:space="0"/>
            </w:tcBorders>
            <w:tcMar>
              <w:top w:w="20" w:type="dxa"/>
              <w:left w:w="20" w:type="dxa"/>
              <w:bottom w:w="0" w:type="dxa"/>
              <w:right w:w="20" w:type="dxa"/>
            </w:tcMar>
            <w:vAlign w:val="center"/>
          </w:tcPr>
          <w:p w14:paraId="4EF152A1">
            <w:pPr>
              <w:pStyle w:val="44"/>
              <w:rPr>
                <w:rFonts w:eastAsia="仿宋"/>
                <w:sz w:val="24"/>
              </w:rPr>
            </w:pPr>
          </w:p>
        </w:tc>
      </w:tr>
      <w:tr w14:paraId="149ABF16">
        <w:tblPrEx>
          <w:tblCellMar>
            <w:top w:w="20" w:type="dxa"/>
            <w:left w:w="20" w:type="dxa"/>
            <w:bottom w:w="0" w:type="dxa"/>
            <w:right w:w="20" w:type="dxa"/>
          </w:tblCellMar>
        </w:tblPrEx>
        <w:trPr>
          <w:trHeight w:val="620" w:hRule="atLeast"/>
        </w:trPr>
        <w:tc>
          <w:tcPr>
            <w:tcW w:w="7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66029369">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top"/>
          </w:tcPr>
          <w:p w14:paraId="7EC9C5E8">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center"/>
          </w:tcPr>
          <w:p w14:paraId="5B89DC37">
            <w:pPr>
              <w:pStyle w:val="44"/>
              <w:rPr>
                <w:rFonts w:eastAsia="仿宋"/>
                <w:sz w:val="24"/>
              </w:rPr>
            </w:pPr>
          </w:p>
        </w:tc>
        <w:tc>
          <w:tcPr>
            <w:tcW w:w="2339" w:type="dxa"/>
            <w:tcBorders>
              <w:top w:val="nil"/>
              <w:left w:val="nil"/>
              <w:bottom w:val="single" w:color="auto" w:sz="4" w:space="0"/>
              <w:right w:val="single" w:color="auto" w:sz="4" w:space="0"/>
            </w:tcBorders>
            <w:tcMar>
              <w:top w:w="20" w:type="dxa"/>
              <w:left w:w="20" w:type="dxa"/>
              <w:bottom w:w="0" w:type="dxa"/>
              <w:right w:w="20" w:type="dxa"/>
            </w:tcMar>
            <w:vAlign w:val="center"/>
          </w:tcPr>
          <w:p w14:paraId="3C4B587D">
            <w:pPr>
              <w:pStyle w:val="44"/>
              <w:rPr>
                <w:rFonts w:eastAsia="仿宋"/>
                <w:sz w:val="24"/>
              </w:rPr>
            </w:pPr>
          </w:p>
        </w:tc>
        <w:tc>
          <w:tcPr>
            <w:tcW w:w="1405" w:type="dxa"/>
            <w:tcBorders>
              <w:top w:val="nil"/>
              <w:left w:val="nil"/>
              <w:bottom w:val="single" w:color="auto" w:sz="4" w:space="0"/>
              <w:right w:val="single" w:color="auto" w:sz="4" w:space="0"/>
            </w:tcBorders>
            <w:vAlign w:val="center"/>
          </w:tcPr>
          <w:p w14:paraId="1070A5FE">
            <w:pPr>
              <w:pStyle w:val="44"/>
              <w:rPr>
                <w:rFonts w:eastAsia="仿宋"/>
                <w:sz w:val="24"/>
              </w:rPr>
            </w:pPr>
          </w:p>
        </w:tc>
        <w:tc>
          <w:tcPr>
            <w:tcW w:w="1951" w:type="dxa"/>
            <w:tcBorders>
              <w:top w:val="nil"/>
              <w:left w:val="nil"/>
              <w:bottom w:val="single" w:color="auto" w:sz="4" w:space="0"/>
              <w:right w:val="single" w:color="auto" w:sz="4" w:space="0"/>
            </w:tcBorders>
            <w:tcMar>
              <w:top w:w="20" w:type="dxa"/>
              <w:left w:w="20" w:type="dxa"/>
              <w:bottom w:w="0" w:type="dxa"/>
              <w:right w:w="20" w:type="dxa"/>
            </w:tcMar>
            <w:vAlign w:val="center"/>
          </w:tcPr>
          <w:p w14:paraId="491B8624">
            <w:pPr>
              <w:pStyle w:val="44"/>
              <w:rPr>
                <w:rFonts w:eastAsia="仿宋"/>
                <w:sz w:val="24"/>
              </w:rPr>
            </w:pPr>
          </w:p>
        </w:tc>
      </w:tr>
      <w:tr w14:paraId="2CC707C5">
        <w:tblPrEx>
          <w:tblCellMar>
            <w:top w:w="20" w:type="dxa"/>
            <w:left w:w="20" w:type="dxa"/>
            <w:bottom w:w="0" w:type="dxa"/>
            <w:right w:w="20" w:type="dxa"/>
          </w:tblCellMar>
        </w:tblPrEx>
        <w:trPr>
          <w:trHeight w:val="607" w:hRule="atLeast"/>
        </w:trPr>
        <w:tc>
          <w:tcPr>
            <w:tcW w:w="7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7EBC545D">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top"/>
          </w:tcPr>
          <w:p w14:paraId="4D15A9AE">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center"/>
          </w:tcPr>
          <w:p w14:paraId="72CA52EB">
            <w:pPr>
              <w:pStyle w:val="44"/>
              <w:rPr>
                <w:rFonts w:eastAsia="仿宋"/>
                <w:sz w:val="24"/>
              </w:rPr>
            </w:pPr>
          </w:p>
        </w:tc>
        <w:tc>
          <w:tcPr>
            <w:tcW w:w="2339" w:type="dxa"/>
            <w:tcBorders>
              <w:top w:val="nil"/>
              <w:left w:val="nil"/>
              <w:bottom w:val="single" w:color="auto" w:sz="4" w:space="0"/>
              <w:right w:val="single" w:color="auto" w:sz="4" w:space="0"/>
            </w:tcBorders>
            <w:tcMar>
              <w:top w:w="20" w:type="dxa"/>
              <w:left w:w="20" w:type="dxa"/>
              <w:bottom w:w="0" w:type="dxa"/>
              <w:right w:w="20" w:type="dxa"/>
            </w:tcMar>
            <w:vAlign w:val="center"/>
          </w:tcPr>
          <w:p w14:paraId="6238DC44">
            <w:pPr>
              <w:pStyle w:val="44"/>
              <w:rPr>
                <w:rFonts w:eastAsia="仿宋"/>
                <w:sz w:val="24"/>
              </w:rPr>
            </w:pPr>
          </w:p>
        </w:tc>
        <w:tc>
          <w:tcPr>
            <w:tcW w:w="1405" w:type="dxa"/>
            <w:tcBorders>
              <w:top w:val="nil"/>
              <w:left w:val="nil"/>
              <w:bottom w:val="single" w:color="auto" w:sz="4" w:space="0"/>
              <w:right w:val="single" w:color="auto" w:sz="4" w:space="0"/>
            </w:tcBorders>
            <w:vAlign w:val="center"/>
          </w:tcPr>
          <w:p w14:paraId="492F39C6">
            <w:pPr>
              <w:pStyle w:val="44"/>
              <w:rPr>
                <w:rFonts w:eastAsia="仿宋"/>
                <w:sz w:val="24"/>
              </w:rPr>
            </w:pPr>
          </w:p>
        </w:tc>
        <w:tc>
          <w:tcPr>
            <w:tcW w:w="1951" w:type="dxa"/>
            <w:tcBorders>
              <w:top w:val="nil"/>
              <w:left w:val="nil"/>
              <w:bottom w:val="single" w:color="auto" w:sz="4" w:space="0"/>
              <w:right w:val="single" w:color="auto" w:sz="4" w:space="0"/>
            </w:tcBorders>
            <w:tcMar>
              <w:top w:w="20" w:type="dxa"/>
              <w:left w:w="20" w:type="dxa"/>
              <w:bottom w:w="0" w:type="dxa"/>
              <w:right w:w="20" w:type="dxa"/>
            </w:tcMar>
            <w:vAlign w:val="center"/>
          </w:tcPr>
          <w:p w14:paraId="19EC001B">
            <w:pPr>
              <w:pStyle w:val="44"/>
              <w:rPr>
                <w:rFonts w:eastAsia="仿宋"/>
                <w:sz w:val="24"/>
              </w:rPr>
            </w:pPr>
          </w:p>
        </w:tc>
      </w:tr>
      <w:tr w14:paraId="44726A7D">
        <w:tblPrEx>
          <w:tblCellMar>
            <w:top w:w="20" w:type="dxa"/>
            <w:left w:w="20" w:type="dxa"/>
            <w:bottom w:w="0" w:type="dxa"/>
            <w:right w:w="20" w:type="dxa"/>
          </w:tblCellMar>
        </w:tblPrEx>
        <w:trPr>
          <w:trHeight w:val="592" w:hRule="atLeast"/>
        </w:trPr>
        <w:tc>
          <w:tcPr>
            <w:tcW w:w="7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7F105FE2">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top"/>
          </w:tcPr>
          <w:p w14:paraId="7F7E4DC8">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center"/>
          </w:tcPr>
          <w:p w14:paraId="638953BB">
            <w:pPr>
              <w:pStyle w:val="44"/>
              <w:rPr>
                <w:rFonts w:eastAsia="仿宋"/>
                <w:sz w:val="24"/>
              </w:rPr>
            </w:pPr>
          </w:p>
        </w:tc>
        <w:tc>
          <w:tcPr>
            <w:tcW w:w="2339" w:type="dxa"/>
            <w:tcBorders>
              <w:top w:val="nil"/>
              <w:left w:val="nil"/>
              <w:bottom w:val="single" w:color="auto" w:sz="4" w:space="0"/>
              <w:right w:val="single" w:color="auto" w:sz="4" w:space="0"/>
            </w:tcBorders>
            <w:tcMar>
              <w:top w:w="20" w:type="dxa"/>
              <w:left w:w="20" w:type="dxa"/>
              <w:bottom w:w="0" w:type="dxa"/>
              <w:right w:w="20" w:type="dxa"/>
            </w:tcMar>
            <w:vAlign w:val="center"/>
          </w:tcPr>
          <w:p w14:paraId="787B0358">
            <w:pPr>
              <w:pStyle w:val="44"/>
              <w:rPr>
                <w:rFonts w:eastAsia="仿宋"/>
                <w:sz w:val="24"/>
              </w:rPr>
            </w:pPr>
          </w:p>
        </w:tc>
        <w:tc>
          <w:tcPr>
            <w:tcW w:w="1405" w:type="dxa"/>
            <w:tcBorders>
              <w:top w:val="nil"/>
              <w:left w:val="nil"/>
              <w:bottom w:val="single" w:color="auto" w:sz="4" w:space="0"/>
              <w:right w:val="single" w:color="auto" w:sz="4" w:space="0"/>
            </w:tcBorders>
            <w:vAlign w:val="center"/>
          </w:tcPr>
          <w:p w14:paraId="5071B2C2">
            <w:pPr>
              <w:pStyle w:val="44"/>
              <w:rPr>
                <w:rFonts w:eastAsia="仿宋"/>
                <w:sz w:val="24"/>
              </w:rPr>
            </w:pPr>
          </w:p>
        </w:tc>
        <w:tc>
          <w:tcPr>
            <w:tcW w:w="1951" w:type="dxa"/>
            <w:tcBorders>
              <w:top w:val="nil"/>
              <w:left w:val="nil"/>
              <w:bottom w:val="single" w:color="auto" w:sz="4" w:space="0"/>
              <w:right w:val="single" w:color="auto" w:sz="4" w:space="0"/>
            </w:tcBorders>
            <w:tcMar>
              <w:top w:w="20" w:type="dxa"/>
              <w:left w:w="20" w:type="dxa"/>
              <w:bottom w:w="0" w:type="dxa"/>
              <w:right w:w="20" w:type="dxa"/>
            </w:tcMar>
            <w:vAlign w:val="center"/>
          </w:tcPr>
          <w:p w14:paraId="024A843A">
            <w:pPr>
              <w:pStyle w:val="44"/>
              <w:rPr>
                <w:rFonts w:eastAsia="仿宋"/>
                <w:sz w:val="24"/>
              </w:rPr>
            </w:pPr>
          </w:p>
        </w:tc>
      </w:tr>
      <w:tr w14:paraId="3847E5A7">
        <w:tblPrEx>
          <w:tblCellMar>
            <w:top w:w="20" w:type="dxa"/>
            <w:left w:w="20" w:type="dxa"/>
            <w:bottom w:w="0" w:type="dxa"/>
            <w:right w:w="20" w:type="dxa"/>
          </w:tblCellMar>
        </w:tblPrEx>
        <w:trPr>
          <w:trHeight w:val="625" w:hRule="atLeast"/>
        </w:trPr>
        <w:tc>
          <w:tcPr>
            <w:tcW w:w="793"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14:paraId="1F1EC545">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top"/>
          </w:tcPr>
          <w:p w14:paraId="2381695F">
            <w:pPr>
              <w:pStyle w:val="44"/>
              <w:rPr>
                <w:rFonts w:eastAsia="仿宋"/>
                <w:sz w:val="24"/>
              </w:rPr>
            </w:pPr>
          </w:p>
        </w:tc>
        <w:tc>
          <w:tcPr>
            <w:tcW w:w="945" w:type="dxa"/>
            <w:tcBorders>
              <w:top w:val="nil"/>
              <w:left w:val="single" w:color="auto" w:sz="4" w:space="0"/>
              <w:bottom w:val="single" w:color="auto" w:sz="4" w:space="0"/>
              <w:right w:val="single" w:color="auto" w:sz="4" w:space="0"/>
            </w:tcBorders>
            <w:vAlign w:val="center"/>
          </w:tcPr>
          <w:p w14:paraId="562C928F">
            <w:pPr>
              <w:pStyle w:val="44"/>
              <w:rPr>
                <w:rFonts w:eastAsia="仿宋"/>
                <w:sz w:val="24"/>
              </w:rPr>
            </w:pPr>
          </w:p>
        </w:tc>
        <w:tc>
          <w:tcPr>
            <w:tcW w:w="2339" w:type="dxa"/>
            <w:tcBorders>
              <w:top w:val="nil"/>
              <w:left w:val="nil"/>
              <w:bottom w:val="single" w:color="auto" w:sz="4" w:space="0"/>
              <w:right w:val="single" w:color="auto" w:sz="4" w:space="0"/>
            </w:tcBorders>
            <w:tcMar>
              <w:top w:w="20" w:type="dxa"/>
              <w:left w:w="20" w:type="dxa"/>
              <w:bottom w:w="0" w:type="dxa"/>
              <w:right w:w="20" w:type="dxa"/>
            </w:tcMar>
            <w:vAlign w:val="center"/>
          </w:tcPr>
          <w:p w14:paraId="01C81A9E">
            <w:pPr>
              <w:pStyle w:val="44"/>
              <w:rPr>
                <w:rFonts w:eastAsia="仿宋"/>
                <w:sz w:val="24"/>
              </w:rPr>
            </w:pPr>
          </w:p>
        </w:tc>
        <w:tc>
          <w:tcPr>
            <w:tcW w:w="1405" w:type="dxa"/>
            <w:tcBorders>
              <w:top w:val="nil"/>
              <w:left w:val="nil"/>
              <w:bottom w:val="single" w:color="auto" w:sz="4" w:space="0"/>
              <w:right w:val="single" w:color="auto" w:sz="4" w:space="0"/>
            </w:tcBorders>
            <w:vAlign w:val="center"/>
          </w:tcPr>
          <w:p w14:paraId="25135F9A">
            <w:pPr>
              <w:pStyle w:val="44"/>
              <w:rPr>
                <w:rFonts w:eastAsia="仿宋"/>
                <w:sz w:val="24"/>
              </w:rPr>
            </w:pPr>
          </w:p>
        </w:tc>
        <w:tc>
          <w:tcPr>
            <w:tcW w:w="1951" w:type="dxa"/>
            <w:tcBorders>
              <w:top w:val="nil"/>
              <w:left w:val="nil"/>
              <w:bottom w:val="single" w:color="auto" w:sz="4" w:space="0"/>
              <w:right w:val="single" w:color="auto" w:sz="4" w:space="0"/>
            </w:tcBorders>
            <w:tcMar>
              <w:top w:w="20" w:type="dxa"/>
              <w:left w:w="20" w:type="dxa"/>
              <w:bottom w:w="0" w:type="dxa"/>
              <w:right w:w="20" w:type="dxa"/>
            </w:tcMar>
            <w:vAlign w:val="center"/>
          </w:tcPr>
          <w:p w14:paraId="0C59D0BD">
            <w:pPr>
              <w:pStyle w:val="44"/>
              <w:rPr>
                <w:rFonts w:eastAsia="仿宋"/>
                <w:sz w:val="24"/>
              </w:rPr>
            </w:pPr>
          </w:p>
        </w:tc>
      </w:tr>
    </w:tbl>
    <w:p w14:paraId="61FAF62A">
      <w:pPr>
        <w:spacing w:line="360" w:lineRule="exact"/>
        <w:rPr>
          <w:rFonts w:hint="eastAsia" w:ascii="仿宋" w:hAnsi="仿宋" w:eastAsia="仿宋"/>
        </w:rPr>
        <w:sectPr>
          <w:headerReference r:id="rId6" w:type="default"/>
          <w:footerReference r:id="rId7" w:type="default"/>
          <w:pgSz w:w="11907" w:h="16840"/>
          <w:pgMar w:top="1191" w:right="1191" w:bottom="1191" w:left="1191" w:header="851" w:footer="851" w:gutter="0"/>
          <w:cols w:space="720" w:num="1"/>
          <w:docGrid w:linePitch="312" w:charSpace="0"/>
        </w:sectPr>
      </w:pPr>
    </w:p>
    <w:p w14:paraId="2A9038E6">
      <w:pPr>
        <w:pStyle w:val="5"/>
        <w:keepNext w:val="0"/>
        <w:keepLines w:val="0"/>
        <w:pageBreakBefore w:val="0"/>
        <w:widowControl w:val="0"/>
        <w:kinsoku/>
        <w:wordWrap w:val="0"/>
        <w:overflowPunct/>
        <w:bidi w:val="0"/>
        <w:spacing w:line="500" w:lineRule="exact"/>
        <w:jc w:val="left"/>
        <w:rPr>
          <w:rFonts w:hint="eastAsia" w:ascii="仿宋" w:hAnsi="仿宋" w:eastAsia="仿宋"/>
        </w:rPr>
      </w:pPr>
      <w:r>
        <w:rPr>
          <w:rFonts w:hint="eastAsia" w:ascii="仿宋" w:hAnsi="仿宋" w:eastAsia="仿宋"/>
        </w:rPr>
        <w:t>七、</w:t>
      </w:r>
      <w:r>
        <w:rPr>
          <w:rFonts w:hint="eastAsia" w:eastAsia="仿宋"/>
          <w:sz w:val="30"/>
          <w:szCs w:val="30"/>
          <w:lang w:val="en-US" w:eastAsia="zh-CN"/>
        </w:rPr>
        <w:t>技术</w:t>
      </w:r>
      <w:r>
        <w:rPr>
          <w:rFonts w:eastAsia="仿宋"/>
          <w:sz w:val="30"/>
          <w:szCs w:val="30"/>
        </w:rPr>
        <w:t>偏离表（格式）</w:t>
      </w:r>
    </w:p>
    <w:p w14:paraId="0EF231A8">
      <w:pPr>
        <w:keepNext w:val="0"/>
        <w:keepLines w:val="0"/>
        <w:pageBreakBefore w:val="0"/>
        <w:widowControl w:val="0"/>
        <w:kinsoku/>
        <w:wordWrap w:val="0"/>
        <w:overflowPunct/>
        <w:bidi w:val="0"/>
        <w:spacing w:line="360" w:lineRule="auto"/>
        <w:jc w:val="center"/>
        <w:rPr>
          <w:rFonts w:hint="eastAsia" w:ascii="Times New Roman" w:hAnsi="Times New Roman" w:eastAsia="仿宋"/>
          <w:b/>
          <w:sz w:val="28"/>
          <w:szCs w:val="28"/>
          <w:lang w:val="en-US" w:eastAsia="zh-CN"/>
        </w:rPr>
      </w:pPr>
      <w:r>
        <w:rPr>
          <w:rFonts w:hint="eastAsia" w:ascii="Times New Roman" w:hAnsi="Times New Roman" w:eastAsia="仿宋"/>
          <w:b/>
          <w:sz w:val="28"/>
          <w:szCs w:val="28"/>
          <w:lang w:val="en-US" w:eastAsia="zh-CN"/>
        </w:rPr>
        <w:t>技术</w:t>
      </w:r>
      <w:r>
        <w:rPr>
          <w:rFonts w:ascii="Times New Roman" w:hAnsi="Times New Roman" w:eastAsia="仿宋"/>
          <w:b/>
          <w:sz w:val="28"/>
          <w:szCs w:val="28"/>
        </w:rPr>
        <w:t>偏离表</w:t>
      </w:r>
    </w:p>
    <w:p w14:paraId="040D7192">
      <w:pPr>
        <w:keepNext w:val="0"/>
        <w:keepLines w:val="0"/>
        <w:pageBreakBefore w:val="0"/>
        <w:widowControl w:val="0"/>
        <w:kinsoku/>
        <w:wordWrap w:val="0"/>
        <w:overflowPunct/>
        <w:bidi w:val="0"/>
        <w:ind w:firstLine="420" w:firstLineChars="200"/>
        <w:rPr>
          <w:rFonts w:ascii="Times New Roman" w:hAnsi="Times New Roman" w:eastAsia="仿宋"/>
        </w:rPr>
      </w:pPr>
      <w:r>
        <w:rPr>
          <w:rFonts w:ascii="Times New Roman" w:hAnsi="Times New Roman" w:eastAsia="仿宋"/>
        </w:rPr>
        <w:t>经过认真研究本项目</w:t>
      </w:r>
      <w:r>
        <w:rPr>
          <w:rFonts w:hint="eastAsia" w:ascii="Times New Roman" w:hAnsi="Times New Roman" w:eastAsia="仿宋"/>
          <w:lang w:eastAsia="zh-CN"/>
        </w:rPr>
        <w:t>磋商文件</w:t>
      </w:r>
      <w:r>
        <w:rPr>
          <w:rFonts w:ascii="Times New Roman" w:hAnsi="Times New Roman" w:eastAsia="仿宋"/>
        </w:rPr>
        <w:t>中所列</w:t>
      </w:r>
      <w:r>
        <w:rPr>
          <w:rFonts w:hint="eastAsia" w:ascii="Times New Roman" w:hAnsi="Times New Roman" w:eastAsia="仿宋"/>
          <w:szCs w:val="21"/>
          <w:lang w:val="en-US" w:eastAsia="zh-CN"/>
        </w:rPr>
        <w:t>技术要求</w:t>
      </w:r>
      <w:r>
        <w:rPr>
          <w:rFonts w:ascii="Times New Roman" w:hAnsi="Times New Roman" w:eastAsia="仿宋"/>
        </w:rPr>
        <w:t>，我方确认，除下列偏离表所列情况外，我方响应情况全部为“符合”。</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962"/>
        <w:gridCol w:w="2050"/>
        <w:gridCol w:w="1678"/>
        <w:gridCol w:w="1678"/>
        <w:gridCol w:w="1678"/>
      </w:tblGrid>
      <w:tr w14:paraId="07ED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14:paraId="18338D84">
            <w:pPr>
              <w:keepNext w:val="0"/>
              <w:keepLines w:val="0"/>
              <w:pageBreakBefore w:val="0"/>
              <w:widowControl w:val="0"/>
              <w:kinsoku/>
              <w:wordWrap w:val="0"/>
              <w:overflowPunct/>
              <w:bidi w:val="0"/>
              <w:jc w:val="center"/>
              <w:rPr>
                <w:rFonts w:ascii="Times New Roman" w:hAnsi="Times New Roman" w:eastAsia="仿宋"/>
                <w:szCs w:val="21"/>
              </w:rPr>
            </w:pPr>
            <w:r>
              <w:rPr>
                <w:rFonts w:ascii="Times New Roman" w:hAnsi="Times New Roman" w:eastAsia="仿宋"/>
                <w:szCs w:val="21"/>
              </w:rPr>
              <w:t>序号</w:t>
            </w:r>
          </w:p>
        </w:tc>
        <w:tc>
          <w:tcPr>
            <w:tcW w:w="962" w:type="dxa"/>
            <w:vAlign w:val="center"/>
          </w:tcPr>
          <w:p w14:paraId="6E298C2F">
            <w:pPr>
              <w:keepNext w:val="0"/>
              <w:keepLines w:val="0"/>
              <w:pageBreakBefore w:val="0"/>
              <w:widowControl w:val="0"/>
              <w:kinsoku/>
              <w:wordWrap w:val="0"/>
              <w:overflowPunct/>
              <w:bidi w:val="0"/>
              <w:jc w:val="center"/>
              <w:rPr>
                <w:rFonts w:ascii="Times New Roman" w:hAnsi="Times New Roman" w:eastAsia="仿宋"/>
                <w:szCs w:val="21"/>
              </w:rPr>
            </w:pPr>
            <w:r>
              <w:rPr>
                <w:rFonts w:ascii="Times New Roman" w:hAnsi="Times New Roman" w:eastAsia="仿宋"/>
                <w:szCs w:val="21"/>
              </w:rPr>
              <w:t>名称</w:t>
            </w:r>
          </w:p>
        </w:tc>
        <w:tc>
          <w:tcPr>
            <w:tcW w:w="2050" w:type="dxa"/>
            <w:vAlign w:val="center"/>
          </w:tcPr>
          <w:p w14:paraId="1EA4AF80">
            <w:pPr>
              <w:keepNext w:val="0"/>
              <w:keepLines w:val="0"/>
              <w:pageBreakBefore w:val="0"/>
              <w:widowControl w:val="0"/>
              <w:kinsoku/>
              <w:wordWrap w:val="0"/>
              <w:overflowPunct/>
              <w:bidi w:val="0"/>
              <w:jc w:val="center"/>
              <w:rPr>
                <w:rFonts w:hint="eastAsia" w:ascii="Times New Roman" w:hAnsi="Times New Roman" w:eastAsia="仿宋"/>
                <w:szCs w:val="21"/>
                <w:lang w:eastAsia="zh-CN"/>
              </w:rPr>
            </w:pPr>
            <w:bookmarkStart w:id="15" w:name="_Hlk130989516"/>
            <w:bookmarkEnd w:id="15"/>
            <w:r>
              <w:rPr>
                <w:rFonts w:hint="eastAsia" w:ascii="Times New Roman" w:hAnsi="Times New Roman" w:eastAsia="仿宋"/>
                <w:szCs w:val="21"/>
                <w:lang w:eastAsia="zh-CN"/>
              </w:rPr>
              <w:t>磋商文件</w:t>
            </w:r>
            <w:r>
              <w:rPr>
                <w:rFonts w:ascii="Times New Roman" w:hAnsi="Times New Roman" w:eastAsia="仿宋"/>
                <w:szCs w:val="21"/>
              </w:rPr>
              <w:t>的</w:t>
            </w:r>
            <w:r>
              <w:rPr>
                <w:rFonts w:hint="eastAsia" w:ascii="Times New Roman" w:hAnsi="Times New Roman" w:eastAsia="仿宋"/>
                <w:szCs w:val="21"/>
                <w:lang w:val="en-US" w:eastAsia="zh-CN"/>
              </w:rPr>
              <w:t>技术要求</w:t>
            </w:r>
          </w:p>
        </w:tc>
        <w:tc>
          <w:tcPr>
            <w:tcW w:w="1678" w:type="dxa"/>
            <w:vAlign w:val="center"/>
          </w:tcPr>
          <w:p w14:paraId="4B238CFF">
            <w:pPr>
              <w:keepNext w:val="0"/>
              <w:keepLines w:val="0"/>
              <w:pageBreakBefore w:val="0"/>
              <w:widowControl w:val="0"/>
              <w:kinsoku/>
              <w:wordWrap w:val="0"/>
              <w:overflowPunct/>
              <w:bidi w:val="0"/>
              <w:jc w:val="center"/>
              <w:rPr>
                <w:rFonts w:hint="eastAsia" w:ascii="Times New Roman" w:hAnsi="Times New Roman" w:eastAsia="仿宋"/>
                <w:szCs w:val="21"/>
                <w:lang w:eastAsia="zh-CN"/>
              </w:rPr>
            </w:pPr>
            <w:r>
              <w:rPr>
                <w:rFonts w:hint="eastAsia" w:ascii="Times New Roman" w:hAnsi="Times New Roman" w:eastAsia="仿宋"/>
                <w:szCs w:val="21"/>
                <w:lang w:eastAsia="zh-CN"/>
              </w:rPr>
              <w:t>响应文件</w:t>
            </w:r>
            <w:r>
              <w:rPr>
                <w:rFonts w:ascii="Times New Roman" w:hAnsi="Times New Roman" w:eastAsia="仿宋"/>
                <w:szCs w:val="21"/>
              </w:rPr>
              <w:t>的</w:t>
            </w:r>
            <w:r>
              <w:rPr>
                <w:rFonts w:hint="eastAsia" w:ascii="Times New Roman" w:hAnsi="Times New Roman" w:eastAsia="仿宋"/>
                <w:szCs w:val="21"/>
                <w:lang w:val="en-US" w:eastAsia="zh-CN"/>
              </w:rPr>
              <w:t>技术</w:t>
            </w:r>
            <w:r>
              <w:rPr>
                <w:rFonts w:ascii="Times New Roman" w:hAnsi="Times New Roman" w:eastAsia="仿宋"/>
                <w:szCs w:val="21"/>
              </w:rPr>
              <w:t>响应</w:t>
            </w:r>
          </w:p>
        </w:tc>
        <w:tc>
          <w:tcPr>
            <w:tcW w:w="1678" w:type="dxa"/>
            <w:vAlign w:val="center"/>
          </w:tcPr>
          <w:p w14:paraId="0F17153C">
            <w:pPr>
              <w:keepNext w:val="0"/>
              <w:keepLines w:val="0"/>
              <w:pageBreakBefore w:val="0"/>
              <w:widowControl w:val="0"/>
              <w:kinsoku/>
              <w:wordWrap w:val="0"/>
              <w:overflowPunct/>
              <w:bidi w:val="0"/>
              <w:jc w:val="center"/>
              <w:rPr>
                <w:rFonts w:ascii="Times New Roman" w:hAnsi="Times New Roman" w:eastAsia="仿宋"/>
                <w:szCs w:val="21"/>
              </w:rPr>
            </w:pPr>
            <w:r>
              <w:rPr>
                <w:rFonts w:ascii="Times New Roman" w:hAnsi="Times New Roman" w:eastAsia="仿宋"/>
                <w:szCs w:val="21"/>
              </w:rPr>
              <w:t>差异说明</w:t>
            </w:r>
          </w:p>
        </w:tc>
        <w:tc>
          <w:tcPr>
            <w:tcW w:w="1678" w:type="dxa"/>
            <w:vAlign w:val="center"/>
          </w:tcPr>
          <w:p w14:paraId="4C5F3657">
            <w:pPr>
              <w:keepNext w:val="0"/>
              <w:keepLines w:val="0"/>
              <w:pageBreakBefore w:val="0"/>
              <w:widowControl w:val="0"/>
              <w:kinsoku/>
              <w:wordWrap w:val="0"/>
              <w:overflowPunct/>
              <w:bidi w:val="0"/>
              <w:jc w:val="center"/>
              <w:rPr>
                <w:rFonts w:ascii="Times New Roman" w:hAnsi="Times New Roman" w:eastAsia="仿宋"/>
                <w:szCs w:val="21"/>
              </w:rPr>
            </w:pPr>
            <w:r>
              <w:rPr>
                <w:rFonts w:ascii="Times New Roman" w:hAnsi="Times New Roman" w:eastAsia="仿宋"/>
                <w:szCs w:val="21"/>
              </w:rPr>
              <w:t>备注：</w:t>
            </w:r>
            <w:r>
              <w:rPr>
                <w:rFonts w:hint="eastAsia" w:ascii="Times New Roman" w:hAnsi="Times New Roman" w:eastAsia="仿宋"/>
                <w:szCs w:val="21"/>
                <w:lang w:val="en-US" w:eastAsia="zh-CN"/>
              </w:rPr>
              <w:t>可以填写</w:t>
            </w:r>
            <w:r>
              <w:rPr>
                <w:rFonts w:ascii="Times New Roman" w:hAnsi="Times New Roman" w:eastAsia="仿宋"/>
                <w:szCs w:val="21"/>
              </w:rPr>
              <w:t>相关证明材料在</w:t>
            </w:r>
            <w:r>
              <w:rPr>
                <w:rFonts w:hint="eastAsia" w:ascii="Times New Roman" w:hAnsi="Times New Roman" w:eastAsia="仿宋"/>
                <w:szCs w:val="21"/>
                <w:lang w:val="en-US" w:eastAsia="zh-CN"/>
              </w:rPr>
              <w:t>响应文件</w:t>
            </w:r>
            <w:r>
              <w:rPr>
                <w:rFonts w:ascii="Times New Roman" w:hAnsi="Times New Roman" w:eastAsia="仿宋"/>
                <w:szCs w:val="21"/>
              </w:rPr>
              <w:t>中的具体位置（页码）</w:t>
            </w:r>
          </w:p>
        </w:tc>
      </w:tr>
      <w:tr w14:paraId="3B8C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14:paraId="6C2F00FF">
            <w:pPr>
              <w:pStyle w:val="44"/>
              <w:keepNext w:val="0"/>
              <w:keepLines w:val="0"/>
              <w:pageBreakBefore w:val="0"/>
              <w:widowControl w:val="0"/>
              <w:kinsoku/>
              <w:wordWrap w:val="0"/>
              <w:overflowPunct/>
              <w:bidi w:val="0"/>
              <w:rPr>
                <w:rFonts w:ascii="Times New Roman" w:hAnsi="Times New Roman" w:eastAsia="仿宋"/>
              </w:rPr>
            </w:pPr>
            <w:r>
              <w:rPr>
                <w:rFonts w:ascii="Times New Roman" w:hAnsi="Times New Roman" w:eastAsia="仿宋"/>
              </w:rPr>
              <w:t>1</w:t>
            </w:r>
          </w:p>
        </w:tc>
        <w:tc>
          <w:tcPr>
            <w:tcW w:w="962" w:type="dxa"/>
            <w:vAlign w:val="center"/>
          </w:tcPr>
          <w:p w14:paraId="590035A8">
            <w:pPr>
              <w:pStyle w:val="44"/>
              <w:keepNext w:val="0"/>
              <w:keepLines w:val="0"/>
              <w:pageBreakBefore w:val="0"/>
              <w:widowControl w:val="0"/>
              <w:kinsoku/>
              <w:wordWrap w:val="0"/>
              <w:overflowPunct/>
              <w:bidi w:val="0"/>
              <w:rPr>
                <w:rFonts w:ascii="Times New Roman" w:hAnsi="Times New Roman" w:eastAsia="仿宋"/>
              </w:rPr>
            </w:pPr>
          </w:p>
        </w:tc>
        <w:tc>
          <w:tcPr>
            <w:tcW w:w="2050" w:type="dxa"/>
            <w:vAlign w:val="center"/>
          </w:tcPr>
          <w:p w14:paraId="10C268C5">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13A4DDC7">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4765C642">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075389E7">
            <w:pPr>
              <w:pStyle w:val="44"/>
              <w:keepNext w:val="0"/>
              <w:keepLines w:val="0"/>
              <w:pageBreakBefore w:val="0"/>
              <w:widowControl w:val="0"/>
              <w:kinsoku/>
              <w:wordWrap w:val="0"/>
              <w:overflowPunct/>
              <w:bidi w:val="0"/>
              <w:rPr>
                <w:rFonts w:ascii="Times New Roman" w:hAnsi="Times New Roman" w:eastAsia="仿宋"/>
              </w:rPr>
            </w:pPr>
          </w:p>
        </w:tc>
      </w:tr>
      <w:tr w14:paraId="3234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14:paraId="7DBBE11E">
            <w:pPr>
              <w:pStyle w:val="44"/>
              <w:keepNext w:val="0"/>
              <w:keepLines w:val="0"/>
              <w:pageBreakBefore w:val="0"/>
              <w:widowControl w:val="0"/>
              <w:kinsoku/>
              <w:wordWrap w:val="0"/>
              <w:overflowPunct/>
              <w:bidi w:val="0"/>
              <w:rPr>
                <w:rFonts w:ascii="Times New Roman" w:hAnsi="Times New Roman" w:eastAsia="仿宋"/>
              </w:rPr>
            </w:pPr>
            <w:r>
              <w:rPr>
                <w:rFonts w:ascii="Times New Roman" w:hAnsi="Times New Roman" w:eastAsia="仿宋"/>
              </w:rPr>
              <w:t>2</w:t>
            </w:r>
          </w:p>
        </w:tc>
        <w:tc>
          <w:tcPr>
            <w:tcW w:w="962" w:type="dxa"/>
            <w:vAlign w:val="center"/>
          </w:tcPr>
          <w:p w14:paraId="2C3010F2">
            <w:pPr>
              <w:pStyle w:val="44"/>
              <w:keepNext w:val="0"/>
              <w:keepLines w:val="0"/>
              <w:pageBreakBefore w:val="0"/>
              <w:widowControl w:val="0"/>
              <w:kinsoku/>
              <w:wordWrap w:val="0"/>
              <w:overflowPunct/>
              <w:bidi w:val="0"/>
              <w:rPr>
                <w:rFonts w:ascii="Times New Roman" w:hAnsi="Times New Roman" w:eastAsia="仿宋"/>
              </w:rPr>
            </w:pPr>
          </w:p>
        </w:tc>
        <w:tc>
          <w:tcPr>
            <w:tcW w:w="2050" w:type="dxa"/>
            <w:vAlign w:val="center"/>
          </w:tcPr>
          <w:p w14:paraId="6B8FE70C">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4632AE7F">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55762B06">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783B64F6">
            <w:pPr>
              <w:pStyle w:val="44"/>
              <w:keepNext w:val="0"/>
              <w:keepLines w:val="0"/>
              <w:pageBreakBefore w:val="0"/>
              <w:widowControl w:val="0"/>
              <w:kinsoku/>
              <w:wordWrap w:val="0"/>
              <w:overflowPunct/>
              <w:bidi w:val="0"/>
              <w:rPr>
                <w:rFonts w:ascii="Times New Roman" w:hAnsi="Times New Roman" w:eastAsia="仿宋"/>
              </w:rPr>
            </w:pPr>
          </w:p>
        </w:tc>
      </w:tr>
      <w:tr w14:paraId="52C3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14:paraId="65F684B5">
            <w:pPr>
              <w:pStyle w:val="44"/>
              <w:keepNext w:val="0"/>
              <w:keepLines w:val="0"/>
              <w:pageBreakBefore w:val="0"/>
              <w:widowControl w:val="0"/>
              <w:kinsoku/>
              <w:wordWrap w:val="0"/>
              <w:overflowPunct/>
              <w:bidi w:val="0"/>
              <w:rPr>
                <w:rFonts w:ascii="Times New Roman" w:hAnsi="Times New Roman" w:eastAsia="仿宋"/>
              </w:rPr>
            </w:pPr>
            <w:r>
              <w:rPr>
                <w:rFonts w:ascii="Times New Roman" w:hAnsi="Times New Roman" w:eastAsia="仿宋"/>
              </w:rPr>
              <w:t>3</w:t>
            </w:r>
          </w:p>
        </w:tc>
        <w:tc>
          <w:tcPr>
            <w:tcW w:w="962" w:type="dxa"/>
            <w:vAlign w:val="center"/>
          </w:tcPr>
          <w:p w14:paraId="669EE032">
            <w:pPr>
              <w:pStyle w:val="44"/>
              <w:keepNext w:val="0"/>
              <w:keepLines w:val="0"/>
              <w:pageBreakBefore w:val="0"/>
              <w:widowControl w:val="0"/>
              <w:kinsoku/>
              <w:wordWrap w:val="0"/>
              <w:overflowPunct/>
              <w:bidi w:val="0"/>
              <w:rPr>
                <w:rFonts w:ascii="Times New Roman" w:hAnsi="Times New Roman" w:eastAsia="仿宋"/>
              </w:rPr>
            </w:pPr>
          </w:p>
        </w:tc>
        <w:tc>
          <w:tcPr>
            <w:tcW w:w="2050" w:type="dxa"/>
            <w:vAlign w:val="center"/>
          </w:tcPr>
          <w:p w14:paraId="00A67D1E">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0D15B5A1">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14D1BC98">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3D211146">
            <w:pPr>
              <w:pStyle w:val="44"/>
              <w:keepNext w:val="0"/>
              <w:keepLines w:val="0"/>
              <w:pageBreakBefore w:val="0"/>
              <w:widowControl w:val="0"/>
              <w:kinsoku/>
              <w:wordWrap w:val="0"/>
              <w:overflowPunct/>
              <w:bidi w:val="0"/>
              <w:rPr>
                <w:rFonts w:ascii="Times New Roman" w:hAnsi="Times New Roman" w:eastAsia="仿宋"/>
              </w:rPr>
            </w:pPr>
          </w:p>
        </w:tc>
      </w:tr>
      <w:tr w14:paraId="2E5F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14:paraId="5A49756E">
            <w:pPr>
              <w:pStyle w:val="44"/>
              <w:keepNext w:val="0"/>
              <w:keepLines w:val="0"/>
              <w:pageBreakBefore w:val="0"/>
              <w:widowControl w:val="0"/>
              <w:kinsoku/>
              <w:wordWrap w:val="0"/>
              <w:overflowPunct/>
              <w:bidi w:val="0"/>
              <w:rPr>
                <w:rFonts w:ascii="Times New Roman" w:hAnsi="Times New Roman" w:eastAsia="仿宋"/>
              </w:rPr>
            </w:pPr>
            <w:r>
              <w:rPr>
                <w:rFonts w:ascii="Times New Roman" w:hAnsi="Times New Roman" w:eastAsia="仿宋"/>
              </w:rPr>
              <w:t>…</w:t>
            </w:r>
          </w:p>
        </w:tc>
        <w:tc>
          <w:tcPr>
            <w:tcW w:w="962" w:type="dxa"/>
            <w:vAlign w:val="center"/>
          </w:tcPr>
          <w:p w14:paraId="34EAD2C6">
            <w:pPr>
              <w:pStyle w:val="44"/>
              <w:keepNext w:val="0"/>
              <w:keepLines w:val="0"/>
              <w:pageBreakBefore w:val="0"/>
              <w:widowControl w:val="0"/>
              <w:kinsoku/>
              <w:wordWrap w:val="0"/>
              <w:overflowPunct/>
              <w:bidi w:val="0"/>
              <w:rPr>
                <w:rFonts w:ascii="Times New Roman" w:hAnsi="Times New Roman" w:eastAsia="仿宋"/>
              </w:rPr>
            </w:pPr>
          </w:p>
        </w:tc>
        <w:tc>
          <w:tcPr>
            <w:tcW w:w="2050" w:type="dxa"/>
            <w:vAlign w:val="center"/>
          </w:tcPr>
          <w:p w14:paraId="045EC793">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300454B0">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4524D412">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3EC2527A">
            <w:pPr>
              <w:pStyle w:val="44"/>
              <w:keepNext w:val="0"/>
              <w:keepLines w:val="0"/>
              <w:pageBreakBefore w:val="0"/>
              <w:widowControl w:val="0"/>
              <w:kinsoku/>
              <w:wordWrap w:val="0"/>
              <w:overflowPunct/>
              <w:bidi w:val="0"/>
              <w:rPr>
                <w:rFonts w:ascii="Times New Roman" w:hAnsi="Times New Roman" w:eastAsia="仿宋"/>
              </w:rPr>
            </w:pPr>
          </w:p>
        </w:tc>
      </w:tr>
      <w:tr w14:paraId="60A0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14:paraId="1BF71961">
            <w:pPr>
              <w:pStyle w:val="44"/>
              <w:keepNext w:val="0"/>
              <w:keepLines w:val="0"/>
              <w:pageBreakBefore w:val="0"/>
              <w:widowControl w:val="0"/>
              <w:kinsoku/>
              <w:wordWrap w:val="0"/>
              <w:overflowPunct/>
              <w:bidi w:val="0"/>
              <w:rPr>
                <w:rFonts w:ascii="Times New Roman" w:hAnsi="Times New Roman" w:eastAsia="仿宋"/>
              </w:rPr>
            </w:pPr>
          </w:p>
        </w:tc>
        <w:tc>
          <w:tcPr>
            <w:tcW w:w="962" w:type="dxa"/>
            <w:vAlign w:val="center"/>
          </w:tcPr>
          <w:p w14:paraId="397868BE">
            <w:pPr>
              <w:pStyle w:val="44"/>
              <w:keepNext w:val="0"/>
              <w:keepLines w:val="0"/>
              <w:pageBreakBefore w:val="0"/>
              <w:widowControl w:val="0"/>
              <w:kinsoku/>
              <w:wordWrap w:val="0"/>
              <w:overflowPunct/>
              <w:bidi w:val="0"/>
              <w:rPr>
                <w:rFonts w:ascii="Times New Roman" w:hAnsi="Times New Roman" w:eastAsia="仿宋"/>
              </w:rPr>
            </w:pPr>
          </w:p>
        </w:tc>
        <w:tc>
          <w:tcPr>
            <w:tcW w:w="2050" w:type="dxa"/>
            <w:vAlign w:val="center"/>
          </w:tcPr>
          <w:p w14:paraId="428CFEC4">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316437EB">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30EA118E">
            <w:pPr>
              <w:pStyle w:val="44"/>
              <w:keepNext w:val="0"/>
              <w:keepLines w:val="0"/>
              <w:pageBreakBefore w:val="0"/>
              <w:widowControl w:val="0"/>
              <w:kinsoku/>
              <w:wordWrap w:val="0"/>
              <w:overflowPunct/>
              <w:bidi w:val="0"/>
              <w:rPr>
                <w:rFonts w:ascii="Times New Roman" w:hAnsi="Times New Roman" w:eastAsia="仿宋"/>
              </w:rPr>
            </w:pPr>
          </w:p>
        </w:tc>
        <w:tc>
          <w:tcPr>
            <w:tcW w:w="1678" w:type="dxa"/>
            <w:vAlign w:val="center"/>
          </w:tcPr>
          <w:p w14:paraId="3DCD49F3">
            <w:pPr>
              <w:pStyle w:val="44"/>
              <w:keepNext w:val="0"/>
              <w:keepLines w:val="0"/>
              <w:pageBreakBefore w:val="0"/>
              <w:widowControl w:val="0"/>
              <w:kinsoku/>
              <w:wordWrap w:val="0"/>
              <w:overflowPunct/>
              <w:bidi w:val="0"/>
              <w:rPr>
                <w:rFonts w:ascii="Times New Roman" w:hAnsi="Times New Roman" w:eastAsia="仿宋"/>
              </w:rPr>
            </w:pPr>
          </w:p>
        </w:tc>
      </w:tr>
    </w:tbl>
    <w:p w14:paraId="4447851C">
      <w:pPr>
        <w:keepNext w:val="0"/>
        <w:keepLines w:val="0"/>
        <w:pageBreakBefore w:val="0"/>
        <w:widowControl w:val="0"/>
        <w:kinsoku/>
        <w:wordWrap w:val="0"/>
        <w:overflowPunct/>
        <w:bidi w:val="0"/>
        <w:spacing w:line="360" w:lineRule="auto"/>
        <w:ind w:firstLine="420" w:firstLineChars="200"/>
        <w:rPr>
          <w:rFonts w:ascii="Times New Roman" w:hAnsi="Times New Roman" w:eastAsia="仿宋"/>
        </w:rPr>
      </w:pPr>
    </w:p>
    <w:p w14:paraId="1CA46BA4">
      <w:pPr>
        <w:keepNext w:val="0"/>
        <w:keepLines w:val="0"/>
        <w:pageBreakBefore w:val="0"/>
        <w:widowControl w:val="0"/>
        <w:kinsoku/>
        <w:wordWrap w:val="0"/>
        <w:overflowPunct/>
        <w:bidi w:val="0"/>
        <w:spacing w:line="360" w:lineRule="auto"/>
        <w:ind w:firstLine="420" w:firstLineChars="200"/>
        <w:rPr>
          <w:rFonts w:ascii="Times New Roman" w:hAnsi="Times New Roman" w:eastAsia="仿宋"/>
        </w:rPr>
      </w:pPr>
      <w:r>
        <w:rPr>
          <w:rFonts w:ascii="Times New Roman" w:hAnsi="Times New Roman" w:eastAsia="仿宋"/>
        </w:rPr>
        <w:t>注：</w:t>
      </w:r>
    </w:p>
    <w:p w14:paraId="58611E49">
      <w:pPr>
        <w:keepNext w:val="0"/>
        <w:keepLines w:val="0"/>
        <w:pageBreakBefore w:val="0"/>
        <w:widowControl w:val="0"/>
        <w:kinsoku/>
        <w:wordWrap w:val="0"/>
        <w:overflowPunct/>
        <w:bidi w:val="0"/>
        <w:spacing w:line="360" w:lineRule="auto"/>
        <w:ind w:firstLine="422" w:firstLineChars="200"/>
        <w:rPr>
          <w:rFonts w:ascii="Times New Roman" w:hAnsi="Times New Roman" w:eastAsia="仿宋"/>
          <w:b/>
        </w:rPr>
      </w:pPr>
      <w:r>
        <w:rPr>
          <w:rFonts w:ascii="Times New Roman" w:hAnsi="Times New Roman" w:eastAsia="仿宋"/>
          <w:b/>
        </w:rPr>
        <w:t>1.</w:t>
      </w:r>
      <w:r>
        <w:rPr>
          <w:rFonts w:ascii="Times New Roman" w:hAnsi="Times New Roman"/>
        </w:rPr>
        <w:t xml:space="preserve"> </w:t>
      </w:r>
      <w:r>
        <w:rPr>
          <w:rFonts w:hint="eastAsia" w:ascii="Times New Roman" w:hAnsi="Times New Roman" w:eastAsia="仿宋"/>
          <w:b/>
          <w:lang w:val="en-US" w:eastAsia="zh-CN"/>
        </w:rPr>
        <w:t>供应商</w:t>
      </w:r>
      <w:r>
        <w:rPr>
          <w:rFonts w:ascii="Times New Roman" w:hAnsi="Times New Roman" w:eastAsia="仿宋"/>
          <w:b/>
        </w:rPr>
        <w:t>仅需列明存在差异的内容，除列明的差异外，视为全部符合</w:t>
      </w:r>
      <w:r>
        <w:rPr>
          <w:rFonts w:hint="eastAsia" w:ascii="Times New Roman" w:hAnsi="Times New Roman" w:eastAsia="仿宋"/>
          <w:b/>
          <w:lang w:eastAsia="zh-CN"/>
        </w:rPr>
        <w:t>磋商文件</w:t>
      </w:r>
      <w:r>
        <w:rPr>
          <w:rFonts w:hint="eastAsia" w:ascii="Times New Roman" w:hAnsi="Times New Roman" w:eastAsia="仿宋"/>
          <w:b/>
          <w:lang w:val="en-US" w:eastAsia="zh-CN"/>
        </w:rPr>
        <w:t>技术要求</w:t>
      </w:r>
      <w:r>
        <w:rPr>
          <w:rFonts w:ascii="Times New Roman" w:hAnsi="Times New Roman" w:eastAsia="仿宋"/>
          <w:b/>
        </w:rPr>
        <w:t>。“符合”指与</w:t>
      </w:r>
      <w:r>
        <w:rPr>
          <w:rFonts w:hint="eastAsia" w:ascii="Times New Roman" w:hAnsi="Times New Roman" w:eastAsia="仿宋"/>
          <w:b/>
          <w:lang w:eastAsia="zh-CN"/>
        </w:rPr>
        <w:t>磋商文件</w:t>
      </w:r>
      <w:r>
        <w:rPr>
          <w:rFonts w:ascii="Times New Roman" w:hAnsi="Times New Roman" w:eastAsia="仿宋"/>
          <w:b/>
        </w:rPr>
        <w:t>要求一致。</w:t>
      </w:r>
    </w:p>
    <w:p w14:paraId="0B03A583">
      <w:pPr>
        <w:keepNext w:val="0"/>
        <w:keepLines w:val="0"/>
        <w:pageBreakBefore w:val="0"/>
        <w:widowControl w:val="0"/>
        <w:kinsoku/>
        <w:wordWrap w:val="0"/>
        <w:overflowPunct/>
        <w:bidi w:val="0"/>
        <w:spacing w:line="360" w:lineRule="auto"/>
        <w:ind w:firstLine="422" w:firstLineChars="200"/>
        <w:rPr>
          <w:rFonts w:ascii="Times New Roman" w:hAnsi="Times New Roman" w:eastAsia="仿宋"/>
          <w:b/>
        </w:rPr>
      </w:pPr>
      <w:r>
        <w:rPr>
          <w:rFonts w:ascii="Times New Roman" w:hAnsi="Times New Roman" w:eastAsia="仿宋"/>
          <w:b/>
        </w:rPr>
        <w:t>2.本表填写时，</w:t>
      </w:r>
      <w:r>
        <w:rPr>
          <w:rFonts w:hint="eastAsia" w:ascii="Times New Roman" w:hAnsi="Times New Roman" w:eastAsia="仿宋"/>
          <w:b/>
          <w:lang w:eastAsia="zh-CN"/>
        </w:rPr>
        <w:t>磋商文件</w:t>
      </w:r>
      <w:r>
        <w:rPr>
          <w:rFonts w:hint="eastAsia" w:ascii="Times New Roman" w:hAnsi="Times New Roman" w:eastAsia="仿宋"/>
          <w:b/>
        </w:rPr>
        <w:t>的</w:t>
      </w:r>
      <w:r>
        <w:rPr>
          <w:rFonts w:hint="eastAsia" w:ascii="Times New Roman" w:hAnsi="Times New Roman" w:eastAsia="仿宋"/>
          <w:b/>
          <w:lang w:val="en-US" w:eastAsia="zh-CN"/>
        </w:rPr>
        <w:t>技术</w:t>
      </w:r>
      <w:r>
        <w:rPr>
          <w:rFonts w:hint="eastAsia" w:ascii="Times New Roman" w:hAnsi="Times New Roman" w:eastAsia="仿宋"/>
          <w:b/>
        </w:rPr>
        <w:t>要求</w:t>
      </w:r>
      <w:r>
        <w:rPr>
          <w:rFonts w:ascii="Times New Roman" w:hAnsi="Times New Roman" w:eastAsia="仿宋"/>
          <w:b/>
        </w:rPr>
        <w:t>为</w:t>
      </w:r>
      <w:r>
        <w:rPr>
          <w:rFonts w:hint="eastAsia" w:ascii="Times New Roman" w:hAnsi="Times New Roman" w:eastAsia="仿宋"/>
          <w:b/>
          <w:lang w:eastAsia="zh-CN"/>
        </w:rPr>
        <w:t>磋商文件</w:t>
      </w:r>
      <w:r>
        <w:rPr>
          <w:rFonts w:hint="eastAsia" w:ascii="Times New Roman" w:hAnsi="Times New Roman" w:eastAsia="仿宋"/>
          <w:b/>
          <w:lang w:val="en-US" w:eastAsia="zh-CN"/>
        </w:rPr>
        <w:t>第四章采购需求</w:t>
      </w:r>
      <w:r>
        <w:rPr>
          <w:rFonts w:ascii="Times New Roman" w:hAnsi="Times New Roman" w:eastAsia="仿宋"/>
          <w:b/>
        </w:rPr>
        <w:t>中</w:t>
      </w:r>
      <w:r>
        <w:rPr>
          <w:rFonts w:hint="eastAsia" w:ascii="Times New Roman" w:hAnsi="Times New Roman" w:eastAsia="仿宋"/>
          <w:b/>
        </w:rPr>
        <w:t>的</w:t>
      </w:r>
      <w:r>
        <w:rPr>
          <w:rFonts w:hint="eastAsia" w:ascii="Times New Roman" w:hAnsi="Times New Roman" w:eastAsia="仿宋"/>
          <w:b/>
          <w:lang w:val="en-US" w:eastAsia="zh-CN"/>
        </w:rPr>
        <w:t>技术</w:t>
      </w:r>
      <w:r>
        <w:rPr>
          <w:rFonts w:hint="eastAsia" w:ascii="Times New Roman" w:hAnsi="Times New Roman" w:eastAsia="仿宋"/>
          <w:b/>
        </w:rPr>
        <w:t>要求</w:t>
      </w:r>
      <w:r>
        <w:rPr>
          <w:rFonts w:ascii="Times New Roman" w:hAnsi="Times New Roman" w:eastAsia="仿宋"/>
          <w:b/>
        </w:rPr>
        <w:t>，</w:t>
      </w:r>
      <w:r>
        <w:rPr>
          <w:rFonts w:hint="eastAsia" w:ascii="Times New Roman" w:hAnsi="Times New Roman" w:eastAsia="仿宋"/>
          <w:b/>
          <w:lang w:val="en-US" w:eastAsia="zh-CN"/>
        </w:rPr>
        <w:t>技术</w:t>
      </w:r>
      <w:r>
        <w:rPr>
          <w:rFonts w:hint="eastAsia" w:ascii="Times New Roman" w:hAnsi="Times New Roman" w:eastAsia="仿宋"/>
          <w:b/>
        </w:rPr>
        <w:t>响应</w:t>
      </w:r>
      <w:r>
        <w:rPr>
          <w:rFonts w:ascii="Times New Roman" w:hAnsi="Times New Roman" w:eastAsia="仿宋"/>
          <w:b/>
        </w:rPr>
        <w:t>应据实填写。</w:t>
      </w:r>
    </w:p>
    <w:p w14:paraId="4C5D60B8">
      <w:pPr>
        <w:keepNext w:val="0"/>
        <w:keepLines w:val="0"/>
        <w:pageBreakBefore w:val="0"/>
        <w:widowControl w:val="0"/>
        <w:kinsoku/>
        <w:wordWrap w:val="0"/>
        <w:overflowPunct/>
        <w:bidi w:val="0"/>
        <w:spacing w:line="360" w:lineRule="auto"/>
        <w:ind w:firstLine="422" w:firstLineChars="200"/>
        <w:rPr>
          <w:rFonts w:ascii="Times New Roman" w:hAnsi="Times New Roman" w:eastAsia="仿宋"/>
          <w:b/>
        </w:rPr>
      </w:pPr>
      <w:r>
        <w:rPr>
          <w:rFonts w:ascii="Times New Roman" w:hAnsi="Times New Roman" w:eastAsia="仿宋"/>
          <w:b/>
        </w:rPr>
        <w:t>3.供应商根据项目实际填写，表中单项，项目招标要求不涉及的可留空或自行调整。</w:t>
      </w:r>
    </w:p>
    <w:p w14:paraId="6C0F61BF">
      <w:pPr>
        <w:spacing w:line="300" w:lineRule="auto"/>
        <w:rPr>
          <w:rFonts w:hint="eastAsia" w:ascii="仿宋" w:hAnsi="仿宋" w:eastAsia="仿宋"/>
          <w:szCs w:val="18"/>
        </w:rPr>
      </w:pPr>
    </w:p>
    <w:p w14:paraId="49F5824D">
      <w:pPr>
        <w:pStyle w:val="5"/>
        <w:rPr>
          <w:rFonts w:hint="eastAsia" w:ascii="仿宋" w:hAnsi="仿宋" w:eastAsia="仿宋"/>
        </w:rPr>
        <w:sectPr>
          <w:pgSz w:w="11906" w:h="16838"/>
          <w:pgMar w:top="1440" w:right="1800" w:bottom="1440" w:left="1800" w:header="851" w:footer="992" w:gutter="0"/>
          <w:cols w:space="720" w:num="1"/>
          <w:docGrid w:type="lines" w:linePitch="312" w:charSpace="0"/>
        </w:sectPr>
      </w:pPr>
    </w:p>
    <w:p w14:paraId="51DCB606">
      <w:pPr>
        <w:pStyle w:val="5"/>
        <w:wordWrap w:val="0"/>
        <w:topLinePunct/>
        <w:spacing w:line="500" w:lineRule="exact"/>
        <w:jc w:val="left"/>
        <w:rPr>
          <w:rFonts w:hint="eastAsia" w:eastAsia="仿宋"/>
          <w:lang w:val="en-US" w:eastAsia="zh-CN"/>
        </w:rPr>
      </w:pPr>
      <w:r>
        <w:rPr>
          <w:rFonts w:hint="eastAsia" w:eastAsia="仿宋"/>
          <w:lang w:val="en-US" w:eastAsia="zh-CN"/>
        </w:rPr>
        <w:t>八</w:t>
      </w:r>
      <w:r>
        <w:rPr>
          <w:rFonts w:hint="eastAsia" w:eastAsia="仿宋"/>
        </w:rPr>
        <w:t>、</w:t>
      </w:r>
      <w:r>
        <w:rPr>
          <w:rFonts w:eastAsia="仿宋"/>
        </w:rPr>
        <w:t>商务条款偏离表</w:t>
      </w:r>
    </w:p>
    <w:p w14:paraId="58E98A1B">
      <w:pPr>
        <w:spacing w:line="360" w:lineRule="auto"/>
        <w:jc w:val="center"/>
        <w:rPr>
          <w:rFonts w:eastAsia="仿宋"/>
          <w:b/>
          <w:sz w:val="28"/>
          <w:szCs w:val="28"/>
        </w:rPr>
      </w:pPr>
      <w:r>
        <w:rPr>
          <w:rFonts w:eastAsia="仿宋"/>
          <w:b/>
          <w:sz w:val="28"/>
          <w:szCs w:val="28"/>
        </w:rPr>
        <w:t>商务条款偏离表</w:t>
      </w:r>
    </w:p>
    <w:p w14:paraId="0C747395">
      <w:pPr>
        <w:ind w:firstLine="480" w:firstLineChars="200"/>
        <w:rPr>
          <w:rFonts w:hint="eastAsia" w:ascii="仿宋" w:hAnsi="仿宋" w:eastAsia="仿宋"/>
          <w:sz w:val="24"/>
          <w:szCs w:val="24"/>
        </w:rPr>
      </w:pPr>
      <w:r>
        <w:rPr>
          <w:rFonts w:hint="eastAsia" w:ascii="仿宋" w:hAnsi="仿宋" w:eastAsia="仿宋"/>
          <w:sz w:val="24"/>
          <w:szCs w:val="24"/>
        </w:rPr>
        <w:t>经过认真研究本项目磋商文件中所列商务条款，我方确认，除下列偏离表所列情况外，我方响应情况全部为“符合”。</w:t>
      </w:r>
    </w:p>
    <w:tbl>
      <w:tblPr>
        <w:tblStyle w:val="2"/>
        <w:tblW w:w="84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25"/>
        <w:gridCol w:w="1626"/>
        <w:gridCol w:w="1575"/>
        <w:gridCol w:w="1233"/>
        <w:gridCol w:w="1011"/>
        <w:gridCol w:w="1399"/>
      </w:tblGrid>
      <w:tr w14:paraId="3BEF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28" w:type="dxa"/>
            <w:vAlign w:val="center"/>
          </w:tcPr>
          <w:p w14:paraId="4E6ECDDB">
            <w:pPr>
              <w:jc w:val="center"/>
              <w:rPr>
                <w:rFonts w:eastAsia="仿宋"/>
              </w:rPr>
            </w:pPr>
            <w:r>
              <w:rPr>
                <w:rFonts w:eastAsia="仿宋"/>
              </w:rPr>
              <w:t>序号</w:t>
            </w:r>
          </w:p>
        </w:tc>
        <w:tc>
          <w:tcPr>
            <w:tcW w:w="1125" w:type="dxa"/>
            <w:vAlign w:val="center"/>
          </w:tcPr>
          <w:p w14:paraId="23C2A8D6">
            <w:pPr>
              <w:jc w:val="center"/>
              <w:rPr>
                <w:rFonts w:eastAsia="仿宋"/>
              </w:rPr>
            </w:pPr>
            <w:r>
              <w:rPr>
                <w:rFonts w:eastAsia="仿宋"/>
              </w:rPr>
              <w:t>名称</w:t>
            </w:r>
          </w:p>
        </w:tc>
        <w:tc>
          <w:tcPr>
            <w:tcW w:w="1626" w:type="dxa"/>
            <w:vAlign w:val="center"/>
          </w:tcPr>
          <w:p w14:paraId="795E9B0C">
            <w:pPr>
              <w:jc w:val="center"/>
              <w:rPr>
                <w:rFonts w:eastAsia="仿宋"/>
              </w:rPr>
            </w:pPr>
            <w:r>
              <w:rPr>
                <w:rFonts w:eastAsia="仿宋"/>
              </w:rPr>
              <w:t>磋商文件的商务条款</w:t>
            </w:r>
          </w:p>
        </w:tc>
        <w:tc>
          <w:tcPr>
            <w:tcW w:w="1575" w:type="dxa"/>
            <w:vAlign w:val="center"/>
          </w:tcPr>
          <w:p w14:paraId="042E4BAC">
            <w:pPr>
              <w:jc w:val="center"/>
              <w:rPr>
                <w:rFonts w:eastAsia="仿宋"/>
              </w:rPr>
            </w:pPr>
            <w:r>
              <w:rPr>
                <w:rFonts w:eastAsia="仿宋"/>
              </w:rPr>
              <w:t>响应文件的商务条款</w:t>
            </w:r>
          </w:p>
        </w:tc>
        <w:tc>
          <w:tcPr>
            <w:tcW w:w="1233" w:type="dxa"/>
            <w:vAlign w:val="center"/>
          </w:tcPr>
          <w:p w14:paraId="1C1EBBFF">
            <w:pPr>
              <w:jc w:val="center"/>
              <w:rPr>
                <w:rFonts w:eastAsia="仿宋"/>
              </w:rPr>
            </w:pPr>
            <w:r>
              <w:rPr>
                <w:rFonts w:eastAsia="仿宋"/>
              </w:rPr>
              <w:t>偏离情况</w:t>
            </w:r>
          </w:p>
        </w:tc>
        <w:tc>
          <w:tcPr>
            <w:tcW w:w="1011" w:type="dxa"/>
            <w:vAlign w:val="center"/>
          </w:tcPr>
          <w:p w14:paraId="4E7B1871">
            <w:pPr>
              <w:jc w:val="center"/>
              <w:rPr>
                <w:rFonts w:eastAsia="仿宋"/>
              </w:rPr>
            </w:pPr>
            <w:r>
              <w:rPr>
                <w:rFonts w:eastAsia="仿宋"/>
              </w:rPr>
              <w:t>说明</w:t>
            </w:r>
          </w:p>
        </w:tc>
        <w:tc>
          <w:tcPr>
            <w:tcW w:w="1399" w:type="dxa"/>
            <w:vAlign w:val="center"/>
          </w:tcPr>
          <w:p w14:paraId="2A57BB29">
            <w:pPr>
              <w:jc w:val="center"/>
              <w:rPr>
                <w:rFonts w:eastAsia="仿宋"/>
              </w:rPr>
            </w:pPr>
            <w:r>
              <w:rPr>
                <w:rFonts w:eastAsia="仿宋"/>
              </w:rPr>
              <w:t>备注：</w:t>
            </w:r>
            <w:r>
              <w:rPr>
                <w:rFonts w:hint="eastAsia" w:eastAsia="仿宋"/>
              </w:rPr>
              <w:t>可以填写相关证明材料在响应文件中的具体位置（页码）</w:t>
            </w:r>
          </w:p>
        </w:tc>
      </w:tr>
      <w:tr w14:paraId="619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28" w:type="dxa"/>
            <w:vAlign w:val="center"/>
          </w:tcPr>
          <w:p w14:paraId="7C69CF0E">
            <w:pPr>
              <w:spacing w:line="360" w:lineRule="auto"/>
              <w:jc w:val="center"/>
              <w:rPr>
                <w:rFonts w:eastAsia="仿宋"/>
              </w:rPr>
            </w:pPr>
            <w:r>
              <w:rPr>
                <w:rFonts w:eastAsia="仿宋"/>
              </w:rPr>
              <w:t>1</w:t>
            </w:r>
          </w:p>
        </w:tc>
        <w:tc>
          <w:tcPr>
            <w:tcW w:w="1125" w:type="dxa"/>
            <w:vAlign w:val="center"/>
          </w:tcPr>
          <w:p w14:paraId="37A0D073">
            <w:pPr>
              <w:jc w:val="center"/>
              <w:rPr>
                <w:rFonts w:eastAsia="仿宋"/>
              </w:rPr>
            </w:pPr>
            <w:r>
              <w:rPr>
                <w:rFonts w:eastAsia="仿宋"/>
              </w:rPr>
              <w:t>服务地点</w:t>
            </w:r>
          </w:p>
        </w:tc>
        <w:tc>
          <w:tcPr>
            <w:tcW w:w="1626" w:type="dxa"/>
            <w:vAlign w:val="center"/>
          </w:tcPr>
          <w:p w14:paraId="082E74E2">
            <w:pPr>
              <w:jc w:val="center"/>
              <w:rPr>
                <w:rFonts w:ascii="Times New Roman" w:hAnsi="Times New Roman" w:eastAsia="仿宋"/>
                <w:kern w:val="2"/>
                <w:sz w:val="21"/>
                <w:szCs w:val="21"/>
                <w:lang w:val="en-US" w:eastAsia="zh-CN" w:bidi="ar-SA"/>
              </w:rPr>
            </w:pPr>
          </w:p>
        </w:tc>
        <w:tc>
          <w:tcPr>
            <w:tcW w:w="1575" w:type="dxa"/>
            <w:vAlign w:val="center"/>
          </w:tcPr>
          <w:p w14:paraId="1469C7B3">
            <w:pPr>
              <w:jc w:val="center"/>
              <w:rPr>
                <w:rFonts w:ascii="Times New Roman" w:hAnsi="Times New Roman" w:eastAsia="仿宋"/>
                <w:kern w:val="2"/>
                <w:sz w:val="21"/>
                <w:szCs w:val="21"/>
                <w:lang w:val="en-US" w:eastAsia="zh-CN" w:bidi="ar-SA"/>
              </w:rPr>
            </w:pPr>
          </w:p>
        </w:tc>
        <w:tc>
          <w:tcPr>
            <w:tcW w:w="1233" w:type="dxa"/>
            <w:vAlign w:val="center"/>
          </w:tcPr>
          <w:p w14:paraId="60323118">
            <w:pPr>
              <w:jc w:val="center"/>
              <w:rPr>
                <w:rFonts w:eastAsia="仿宋"/>
              </w:rPr>
            </w:pPr>
            <w:r>
              <w:rPr>
                <w:rFonts w:eastAsia="仿宋"/>
              </w:rPr>
              <w:t>正偏离/负偏离</w:t>
            </w:r>
          </w:p>
        </w:tc>
        <w:tc>
          <w:tcPr>
            <w:tcW w:w="1011" w:type="dxa"/>
            <w:vAlign w:val="center"/>
          </w:tcPr>
          <w:p w14:paraId="048B923E">
            <w:pPr>
              <w:spacing w:line="360" w:lineRule="auto"/>
              <w:jc w:val="center"/>
              <w:rPr>
                <w:rFonts w:eastAsia="仿宋"/>
              </w:rPr>
            </w:pPr>
          </w:p>
        </w:tc>
        <w:tc>
          <w:tcPr>
            <w:tcW w:w="1399" w:type="dxa"/>
            <w:vAlign w:val="center"/>
          </w:tcPr>
          <w:p w14:paraId="601CB309">
            <w:pPr>
              <w:spacing w:line="360" w:lineRule="auto"/>
              <w:jc w:val="center"/>
              <w:rPr>
                <w:rFonts w:eastAsia="仿宋"/>
              </w:rPr>
            </w:pPr>
          </w:p>
        </w:tc>
      </w:tr>
      <w:tr w14:paraId="3F46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28" w:type="dxa"/>
            <w:vAlign w:val="center"/>
          </w:tcPr>
          <w:p w14:paraId="30186CD8">
            <w:pPr>
              <w:jc w:val="center"/>
              <w:rPr>
                <w:rFonts w:eastAsia="仿宋"/>
              </w:rPr>
            </w:pPr>
            <w:r>
              <w:rPr>
                <w:rFonts w:eastAsia="仿宋"/>
              </w:rPr>
              <w:t>2</w:t>
            </w:r>
          </w:p>
        </w:tc>
        <w:tc>
          <w:tcPr>
            <w:tcW w:w="1125" w:type="dxa"/>
            <w:vAlign w:val="center"/>
          </w:tcPr>
          <w:p w14:paraId="1C4CC2F8">
            <w:pPr>
              <w:jc w:val="center"/>
              <w:rPr>
                <w:rFonts w:eastAsia="仿宋"/>
              </w:rPr>
            </w:pPr>
            <w:r>
              <w:rPr>
                <w:rFonts w:eastAsia="仿宋"/>
              </w:rPr>
              <w:t>付款方式</w:t>
            </w:r>
          </w:p>
        </w:tc>
        <w:tc>
          <w:tcPr>
            <w:tcW w:w="1626" w:type="dxa"/>
            <w:vAlign w:val="center"/>
          </w:tcPr>
          <w:p w14:paraId="707A6E40">
            <w:pPr>
              <w:jc w:val="center"/>
              <w:rPr>
                <w:rFonts w:ascii="Times New Roman" w:hAnsi="Times New Roman" w:eastAsia="仿宋"/>
                <w:kern w:val="2"/>
                <w:sz w:val="21"/>
                <w:szCs w:val="21"/>
                <w:lang w:val="en-US" w:eastAsia="zh-CN" w:bidi="ar-SA"/>
              </w:rPr>
            </w:pPr>
          </w:p>
        </w:tc>
        <w:tc>
          <w:tcPr>
            <w:tcW w:w="1575" w:type="dxa"/>
            <w:vAlign w:val="center"/>
          </w:tcPr>
          <w:p w14:paraId="09C3D958">
            <w:pPr>
              <w:jc w:val="center"/>
              <w:rPr>
                <w:rFonts w:ascii="Times New Roman" w:hAnsi="Times New Roman" w:eastAsia="仿宋"/>
                <w:kern w:val="2"/>
                <w:sz w:val="21"/>
                <w:szCs w:val="21"/>
                <w:lang w:val="en-US" w:eastAsia="zh-CN" w:bidi="ar-SA"/>
              </w:rPr>
            </w:pPr>
          </w:p>
        </w:tc>
        <w:tc>
          <w:tcPr>
            <w:tcW w:w="1233" w:type="dxa"/>
            <w:vAlign w:val="center"/>
          </w:tcPr>
          <w:p w14:paraId="36C787D1">
            <w:pPr>
              <w:jc w:val="center"/>
              <w:rPr>
                <w:rFonts w:eastAsia="仿宋"/>
              </w:rPr>
            </w:pPr>
            <w:r>
              <w:rPr>
                <w:rFonts w:eastAsia="仿宋"/>
              </w:rPr>
              <w:t>正偏离/负偏离</w:t>
            </w:r>
          </w:p>
        </w:tc>
        <w:tc>
          <w:tcPr>
            <w:tcW w:w="1011" w:type="dxa"/>
            <w:vAlign w:val="center"/>
          </w:tcPr>
          <w:p w14:paraId="6C3DAA48">
            <w:pPr>
              <w:jc w:val="center"/>
              <w:rPr>
                <w:rFonts w:eastAsia="仿宋"/>
              </w:rPr>
            </w:pPr>
          </w:p>
        </w:tc>
        <w:tc>
          <w:tcPr>
            <w:tcW w:w="1399" w:type="dxa"/>
            <w:vAlign w:val="center"/>
          </w:tcPr>
          <w:p w14:paraId="71F4A268">
            <w:pPr>
              <w:jc w:val="center"/>
              <w:rPr>
                <w:rFonts w:eastAsia="仿宋"/>
              </w:rPr>
            </w:pPr>
          </w:p>
        </w:tc>
      </w:tr>
      <w:tr w14:paraId="321C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28" w:type="dxa"/>
            <w:vAlign w:val="center"/>
          </w:tcPr>
          <w:p w14:paraId="549BE702">
            <w:pPr>
              <w:jc w:val="center"/>
              <w:rPr>
                <w:rFonts w:eastAsia="仿宋"/>
              </w:rPr>
            </w:pPr>
            <w:r>
              <w:rPr>
                <w:rFonts w:eastAsia="仿宋"/>
              </w:rPr>
              <w:t>3</w:t>
            </w:r>
          </w:p>
        </w:tc>
        <w:tc>
          <w:tcPr>
            <w:tcW w:w="1125" w:type="dxa"/>
            <w:vAlign w:val="center"/>
          </w:tcPr>
          <w:p w14:paraId="5D4B3FDF">
            <w:pPr>
              <w:jc w:val="center"/>
              <w:rPr>
                <w:rFonts w:eastAsia="仿宋"/>
              </w:rPr>
            </w:pPr>
          </w:p>
        </w:tc>
        <w:tc>
          <w:tcPr>
            <w:tcW w:w="1626" w:type="dxa"/>
            <w:vAlign w:val="center"/>
          </w:tcPr>
          <w:p w14:paraId="7F386FE1">
            <w:pPr>
              <w:jc w:val="center"/>
              <w:rPr>
                <w:rFonts w:eastAsia="仿宋"/>
              </w:rPr>
            </w:pPr>
          </w:p>
        </w:tc>
        <w:tc>
          <w:tcPr>
            <w:tcW w:w="1575" w:type="dxa"/>
            <w:vAlign w:val="center"/>
          </w:tcPr>
          <w:p w14:paraId="475D7835">
            <w:pPr>
              <w:jc w:val="center"/>
              <w:rPr>
                <w:rFonts w:eastAsia="仿宋"/>
              </w:rPr>
            </w:pPr>
          </w:p>
        </w:tc>
        <w:tc>
          <w:tcPr>
            <w:tcW w:w="1233" w:type="dxa"/>
            <w:vAlign w:val="center"/>
          </w:tcPr>
          <w:p w14:paraId="0411F8DA">
            <w:pPr>
              <w:jc w:val="center"/>
              <w:rPr>
                <w:rFonts w:eastAsia="仿宋"/>
              </w:rPr>
            </w:pPr>
          </w:p>
        </w:tc>
        <w:tc>
          <w:tcPr>
            <w:tcW w:w="1011" w:type="dxa"/>
            <w:vAlign w:val="center"/>
          </w:tcPr>
          <w:p w14:paraId="326263B9">
            <w:pPr>
              <w:jc w:val="center"/>
              <w:rPr>
                <w:rFonts w:eastAsia="仿宋"/>
              </w:rPr>
            </w:pPr>
          </w:p>
        </w:tc>
        <w:tc>
          <w:tcPr>
            <w:tcW w:w="1399" w:type="dxa"/>
            <w:vAlign w:val="center"/>
          </w:tcPr>
          <w:p w14:paraId="65F6D5C8">
            <w:pPr>
              <w:jc w:val="center"/>
              <w:rPr>
                <w:rFonts w:eastAsia="仿宋"/>
              </w:rPr>
            </w:pPr>
          </w:p>
        </w:tc>
      </w:tr>
      <w:tr w14:paraId="2DC22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28" w:type="dxa"/>
            <w:vAlign w:val="center"/>
          </w:tcPr>
          <w:p w14:paraId="7AAE3773">
            <w:pPr>
              <w:jc w:val="center"/>
              <w:rPr>
                <w:rFonts w:eastAsia="仿宋"/>
              </w:rPr>
            </w:pPr>
            <w:r>
              <w:rPr>
                <w:rFonts w:eastAsia="仿宋"/>
              </w:rPr>
              <w:t>4</w:t>
            </w:r>
          </w:p>
        </w:tc>
        <w:tc>
          <w:tcPr>
            <w:tcW w:w="1125" w:type="dxa"/>
            <w:vAlign w:val="center"/>
          </w:tcPr>
          <w:p w14:paraId="11A5D74D">
            <w:pPr>
              <w:jc w:val="center"/>
              <w:rPr>
                <w:rFonts w:eastAsia="仿宋"/>
              </w:rPr>
            </w:pPr>
          </w:p>
        </w:tc>
        <w:tc>
          <w:tcPr>
            <w:tcW w:w="1626" w:type="dxa"/>
            <w:vAlign w:val="center"/>
          </w:tcPr>
          <w:p w14:paraId="685BA391">
            <w:pPr>
              <w:jc w:val="center"/>
              <w:rPr>
                <w:rFonts w:eastAsia="仿宋"/>
              </w:rPr>
            </w:pPr>
          </w:p>
        </w:tc>
        <w:tc>
          <w:tcPr>
            <w:tcW w:w="1575" w:type="dxa"/>
            <w:vAlign w:val="center"/>
          </w:tcPr>
          <w:p w14:paraId="6CB6D98B">
            <w:pPr>
              <w:jc w:val="center"/>
              <w:rPr>
                <w:rFonts w:eastAsia="仿宋"/>
              </w:rPr>
            </w:pPr>
          </w:p>
        </w:tc>
        <w:tc>
          <w:tcPr>
            <w:tcW w:w="1233" w:type="dxa"/>
            <w:vAlign w:val="center"/>
          </w:tcPr>
          <w:p w14:paraId="046EEF4D">
            <w:pPr>
              <w:jc w:val="center"/>
              <w:rPr>
                <w:rFonts w:eastAsia="仿宋"/>
              </w:rPr>
            </w:pPr>
          </w:p>
        </w:tc>
        <w:tc>
          <w:tcPr>
            <w:tcW w:w="1011" w:type="dxa"/>
            <w:vAlign w:val="center"/>
          </w:tcPr>
          <w:p w14:paraId="0AB765D3">
            <w:pPr>
              <w:jc w:val="center"/>
              <w:rPr>
                <w:rFonts w:eastAsia="仿宋"/>
              </w:rPr>
            </w:pPr>
          </w:p>
        </w:tc>
        <w:tc>
          <w:tcPr>
            <w:tcW w:w="1399" w:type="dxa"/>
            <w:vAlign w:val="center"/>
          </w:tcPr>
          <w:p w14:paraId="2A1CA2B3">
            <w:pPr>
              <w:jc w:val="center"/>
              <w:rPr>
                <w:rFonts w:eastAsia="仿宋"/>
              </w:rPr>
            </w:pPr>
          </w:p>
        </w:tc>
      </w:tr>
      <w:tr w14:paraId="72DD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28" w:type="dxa"/>
            <w:vAlign w:val="center"/>
          </w:tcPr>
          <w:p w14:paraId="344108AB">
            <w:pPr>
              <w:jc w:val="center"/>
              <w:rPr>
                <w:rFonts w:eastAsia="仿宋"/>
              </w:rPr>
            </w:pPr>
            <w:r>
              <w:rPr>
                <w:rFonts w:eastAsia="仿宋"/>
              </w:rPr>
              <w:t>…</w:t>
            </w:r>
          </w:p>
        </w:tc>
        <w:tc>
          <w:tcPr>
            <w:tcW w:w="1125" w:type="dxa"/>
            <w:vAlign w:val="center"/>
          </w:tcPr>
          <w:p w14:paraId="4D7BD5CA">
            <w:pPr>
              <w:jc w:val="center"/>
              <w:rPr>
                <w:rFonts w:eastAsia="仿宋"/>
              </w:rPr>
            </w:pPr>
          </w:p>
        </w:tc>
        <w:tc>
          <w:tcPr>
            <w:tcW w:w="1626" w:type="dxa"/>
            <w:vAlign w:val="center"/>
          </w:tcPr>
          <w:p w14:paraId="772E4B2C">
            <w:pPr>
              <w:jc w:val="center"/>
              <w:rPr>
                <w:rFonts w:eastAsia="仿宋"/>
              </w:rPr>
            </w:pPr>
          </w:p>
        </w:tc>
        <w:tc>
          <w:tcPr>
            <w:tcW w:w="1575" w:type="dxa"/>
            <w:vAlign w:val="center"/>
          </w:tcPr>
          <w:p w14:paraId="47F3C471">
            <w:pPr>
              <w:jc w:val="center"/>
              <w:rPr>
                <w:rFonts w:eastAsia="仿宋"/>
              </w:rPr>
            </w:pPr>
          </w:p>
        </w:tc>
        <w:tc>
          <w:tcPr>
            <w:tcW w:w="1233" w:type="dxa"/>
            <w:vAlign w:val="center"/>
          </w:tcPr>
          <w:p w14:paraId="6352E668">
            <w:pPr>
              <w:jc w:val="center"/>
              <w:rPr>
                <w:rFonts w:eastAsia="仿宋"/>
              </w:rPr>
            </w:pPr>
          </w:p>
        </w:tc>
        <w:tc>
          <w:tcPr>
            <w:tcW w:w="1011" w:type="dxa"/>
            <w:vAlign w:val="center"/>
          </w:tcPr>
          <w:p w14:paraId="000E724C">
            <w:pPr>
              <w:jc w:val="center"/>
              <w:rPr>
                <w:rFonts w:eastAsia="仿宋"/>
              </w:rPr>
            </w:pPr>
          </w:p>
        </w:tc>
        <w:tc>
          <w:tcPr>
            <w:tcW w:w="1399" w:type="dxa"/>
            <w:vAlign w:val="center"/>
          </w:tcPr>
          <w:p w14:paraId="01BEBC61">
            <w:pPr>
              <w:jc w:val="center"/>
              <w:rPr>
                <w:rFonts w:eastAsia="仿宋"/>
              </w:rPr>
            </w:pPr>
          </w:p>
        </w:tc>
      </w:tr>
    </w:tbl>
    <w:p w14:paraId="5024A23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备注：</w:t>
      </w:r>
    </w:p>
    <w:p w14:paraId="6FBF956A">
      <w:pPr>
        <w:spacing w:line="360" w:lineRule="auto"/>
        <w:ind w:firstLine="482" w:firstLineChars="200"/>
        <w:rPr>
          <w:rFonts w:hint="eastAsia" w:ascii="仿宋" w:hAnsi="仿宋" w:eastAsia="仿宋"/>
          <w:b/>
          <w:sz w:val="24"/>
          <w:szCs w:val="24"/>
        </w:rPr>
      </w:pPr>
      <w:r>
        <w:rPr>
          <w:rFonts w:hint="eastAsia" w:ascii="仿宋" w:hAnsi="仿宋" w:eastAsia="仿宋"/>
          <w:b/>
          <w:sz w:val="24"/>
          <w:szCs w:val="24"/>
        </w:rPr>
        <w:t>1.</w:t>
      </w:r>
      <w:r>
        <w:rPr>
          <w:rFonts w:hint="eastAsia" w:ascii="仿宋" w:hAnsi="仿宋" w:eastAsia="仿宋"/>
          <w:sz w:val="24"/>
          <w:szCs w:val="24"/>
        </w:rPr>
        <w:t xml:space="preserve"> </w:t>
      </w:r>
      <w:r>
        <w:rPr>
          <w:rFonts w:hint="eastAsia" w:ascii="仿宋" w:hAnsi="仿宋" w:eastAsia="仿宋"/>
          <w:b/>
          <w:sz w:val="24"/>
          <w:szCs w:val="24"/>
          <w:lang w:eastAsia="zh-CN"/>
        </w:rPr>
        <w:t>供应商</w:t>
      </w:r>
      <w:r>
        <w:rPr>
          <w:rFonts w:hint="eastAsia" w:ascii="仿宋" w:hAnsi="仿宋" w:eastAsia="仿宋"/>
          <w:b/>
          <w:sz w:val="24"/>
          <w:szCs w:val="24"/>
        </w:rPr>
        <w:t>仅需列明存在偏离（包含正偏离和负偏离）的内容，除列明的偏离外，视为全部符合磋商文件商务条款要求。“符合”指与磋商文件要求一致，“正偏离”指优于磋商文件要求；“负偏离”指低于磋商文件要求。</w:t>
      </w:r>
    </w:p>
    <w:p w14:paraId="0CCE9A96">
      <w:pPr>
        <w:rPr>
          <w:rFonts w:hint="eastAsia" w:ascii="仿宋" w:hAnsi="仿宋" w:eastAsia="仿宋"/>
          <w:b/>
          <w:sz w:val="24"/>
          <w:szCs w:val="24"/>
        </w:rPr>
      </w:pPr>
      <w:r>
        <w:rPr>
          <w:rFonts w:hint="eastAsia" w:ascii="仿宋" w:hAnsi="仿宋" w:eastAsia="仿宋"/>
          <w:b/>
          <w:sz w:val="24"/>
          <w:szCs w:val="24"/>
        </w:rPr>
        <w:t>2.供应商根据项目实际填写，表中单项，项目采购要求不涉及的可留空或自行调整。</w:t>
      </w:r>
    </w:p>
    <w:p w14:paraId="11387B36">
      <w:pPr>
        <w:rPr>
          <w:rFonts w:hint="eastAsia" w:ascii="仿宋" w:hAnsi="仿宋" w:eastAsia="仿宋"/>
          <w:b/>
          <w:sz w:val="24"/>
          <w:szCs w:val="24"/>
        </w:rPr>
      </w:pPr>
    </w:p>
    <w:p w14:paraId="6B9B8BD4">
      <w:pPr>
        <w:rPr>
          <w:rFonts w:hint="eastAsia" w:ascii="仿宋" w:hAnsi="仿宋" w:eastAsia="仿宋"/>
          <w:b/>
          <w:sz w:val="24"/>
          <w:szCs w:val="24"/>
        </w:rPr>
      </w:pPr>
    </w:p>
    <w:p w14:paraId="0A0C3AEC">
      <w:pPr>
        <w:rPr>
          <w:rFonts w:hint="eastAsia" w:ascii="仿宋" w:hAnsi="仿宋" w:eastAsia="仿宋"/>
          <w:b/>
          <w:sz w:val="24"/>
          <w:szCs w:val="24"/>
        </w:rPr>
      </w:pPr>
    </w:p>
    <w:p w14:paraId="7EBC1A53">
      <w:pPr>
        <w:rPr>
          <w:rFonts w:hint="eastAsia" w:ascii="仿宋" w:hAnsi="仿宋" w:eastAsia="仿宋"/>
          <w:b/>
          <w:sz w:val="24"/>
          <w:szCs w:val="24"/>
        </w:rPr>
      </w:pPr>
    </w:p>
    <w:p w14:paraId="7F2E051A">
      <w:pPr>
        <w:rPr>
          <w:rFonts w:hint="eastAsia" w:ascii="仿宋" w:hAnsi="仿宋" w:eastAsia="仿宋"/>
          <w:b/>
          <w:sz w:val="24"/>
          <w:szCs w:val="24"/>
        </w:rPr>
      </w:pPr>
    </w:p>
    <w:p w14:paraId="771D7737">
      <w:pPr>
        <w:rPr>
          <w:rFonts w:hint="eastAsia" w:ascii="仿宋" w:hAnsi="仿宋" w:eastAsia="仿宋"/>
          <w:b/>
          <w:sz w:val="24"/>
          <w:szCs w:val="24"/>
        </w:rPr>
      </w:pPr>
    </w:p>
    <w:p w14:paraId="24C6C150">
      <w:pPr>
        <w:rPr>
          <w:rFonts w:hint="eastAsia" w:ascii="仿宋" w:hAnsi="仿宋" w:eastAsia="仿宋"/>
          <w:b/>
          <w:sz w:val="24"/>
          <w:szCs w:val="24"/>
        </w:rPr>
      </w:pPr>
    </w:p>
    <w:p w14:paraId="16556B40">
      <w:pPr>
        <w:rPr>
          <w:rFonts w:hint="eastAsia" w:ascii="仿宋" w:hAnsi="仿宋" w:eastAsia="仿宋"/>
          <w:b/>
          <w:sz w:val="24"/>
          <w:szCs w:val="24"/>
        </w:rPr>
      </w:pPr>
    </w:p>
    <w:p w14:paraId="7DA1D6CB">
      <w:pPr>
        <w:rPr>
          <w:rFonts w:hint="eastAsia" w:ascii="仿宋" w:hAnsi="仿宋" w:eastAsia="仿宋"/>
          <w:b/>
          <w:sz w:val="24"/>
          <w:szCs w:val="24"/>
        </w:rPr>
      </w:pPr>
    </w:p>
    <w:p w14:paraId="314C6A60">
      <w:pPr>
        <w:rPr>
          <w:rFonts w:hint="eastAsia" w:ascii="仿宋" w:hAnsi="仿宋" w:eastAsia="仿宋"/>
          <w:b/>
          <w:sz w:val="24"/>
          <w:szCs w:val="24"/>
        </w:rPr>
      </w:pPr>
    </w:p>
    <w:p w14:paraId="34D2034D">
      <w:pPr>
        <w:rPr>
          <w:rFonts w:hint="eastAsia" w:ascii="仿宋" w:hAnsi="仿宋" w:eastAsia="仿宋"/>
          <w:b/>
          <w:sz w:val="24"/>
          <w:szCs w:val="24"/>
        </w:rPr>
      </w:pPr>
    </w:p>
    <w:p w14:paraId="3783C58A">
      <w:pPr>
        <w:rPr>
          <w:rFonts w:hint="eastAsia" w:ascii="仿宋" w:hAnsi="仿宋" w:eastAsia="仿宋"/>
          <w:b/>
          <w:sz w:val="24"/>
          <w:szCs w:val="24"/>
        </w:rPr>
      </w:pPr>
    </w:p>
    <w:p w14:paraId="66B30B83">
      <w:pPr>
        <w:rPr>
          <w:rFonts w:hint="eastAsia" w:ascii="仿宋" w:hAnsi="仿宋" w:eastAsia="仿宋"/>
          <w:b/>
          <w:sz w:val="24"/>
          <w:szCs w:val="24"/>
        </w:rPr>
      </w:pPr>
    </w:p>
    <w:p w14:paraId="6E8CD8A4">
      <w:pPr>
        <w:rPr>
          <w:rFonts w:hint="eastAsia" w:ascii="仿宋" w:hAnsi="仿宋" w:eastAsia="仿宋"/>
          <w:b/>
          <w:sz w:val="24"/>
          <w:szCs w:val="24"/>
        </w:rPr>
      </w:pPr>
    </w:p>
    <w:p w14:paraId="4FEDDCD5">
      <w:pPr>
        <w:rPr>
          <w:rFonts w:hint="eastAsia" w:ascii="仿宋" w:hAnsi="仿宋" w:eastAsia="仿宋"/>
          <w:b/>
          <w:sz w:val="24"/>
          <w:szCs w:val="24"/>
        </w:rPr>
      </w:pPr>
    </w:p>
    <w:p w14:paraId="62D28C5E">
      <w:pPr>
        <w:rPr>
          <w:rFonts w:hint="eastAsia" w:ascii="仿宋" w:hAnsi="仿宋" w:eastAsia="仿宋"/>
          <w:b/>
          <w:sz w:val="30"/>
          <w:szCs w:val="30"/>
          <w:lang w:val="en-US" w:eastAsia="zh-CN"/>
        </w:rPr>
      </w:pPr>
      <w:r>
        <w:rPr>
          <w:rFonts w:hint="eastAsia" w:ascii="仿宋" w:hAnsi="仿宋" w:eastAsia="仿宋"/>
          <w:b/>
          <w:sz w:val="30"/>
          <w:szCs w:val="30"/>
          <w:lang w:val="en-US" w:eastAsia="zh-CN"/>
        </w:rPr>
        <w:t>九</w:t>
      </w:r>
      <w:r>
        <w:rPr>
          <w:rFonts w:hint="eastAsia" w:ascii="仿宋" w:hAnsi="仿宋" w:eastAsia="仿宋"/>
          <w:b/>
          <w:sz w:val="30"/>
          <w:szCs w:val="30"/>
        </w:rPr>
        <w:t>、</w:t>
      </w:r>
      <w:r>
        <w:rPr>
          <w:rFonts w:hint="eastAsia" w:ascii="Times New Roman" w:hAnsi="Times New Roman" w:eastAsia="仿宋"/>
          <w:b/>
          <w:sz w:val="28"/>
          <w:szCs w:val="28"/>
        </w:rPr>
        <w:t>供应商诚信履约承诺函</w:t>
      </w:r>
    </w:p>
    <w:p w14:paraId="60161ED7">
      <w:pPr>
        <w:spacing w:line="360" w:lineRule="auto"/>
        <w:jc w:val="center"/>
        <w:rPr>
          <w:rFonts w:hint="eastAsia" w:ascii="仿宋" w:hAnsi="仿宋" w:eastAsia="仿宋"/>
          <w:b/>
          <w:sz w:val="28"/>
          <w:szCs w:val="28"/>
        </w:rPr>
      </w:pPr>
    </w:p>
    <w:p w14:paraId="3BA5E0C1">
      <w:pPr>
        <w:spacing w:line="360" w:lineRule="auto"/>
        <w:jc w:val="center"/>
        <w:outlineLvl w:val="3"/>
        <w:rPr>
          <w:rFonts w:hint="eastAsia" w:ascii="Times New Roman" w:hAnsi="Times New Roman" w:eastAsia="仿宋"/>
          <w:b/>
          <w:sz w:val="28"/>
          <w:szCs w:val="28"/>
        </w:rPr>
      </w:pPr>
      <w:r>
        <w:rPr>
          <w:rFonts w:hint="eastAsia" w:ascii="Times New Roman" w:hAnsi="Times New Roman" w:eastAsia="仿宋"/>
          <w:b/>
          <w:sz w:val="28"/>
          <w:szCs w:val="28"/>
        </w:rPr>
        <w:t>供应商诚信履约承诺函</w:t>
      </w:r>
    </w:p>
    <w:p w14:paraId="5ECE9D36">
      <w:pPr>
        <w:autoSpaceDE w:val="0"/>
        <w:autoSpaceDN w:val="0"/>
        <w:spacing w:line="360" w:lineRule="auto"/>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致</w:t>
      </w:r>
      <w:r>
        <w:rPr>
          <w:rFonts w:hint="eastAsia" w:ascii="仿宋" w:hAnsi="仿宋" w:eastAsia="仿宋"/>
          <w:kern w:val="0"/>
          <w:sz w:val="24"/>
          <w:szCs w:val="24"/>
          <w:lang w:eastAsia="zh-CN"/>
        </w:rPr>
        <w:t>：</w:t>
      </w:r>
      <w:r>
        <w:rPr>
          <w:rFonts w:hint="eastAsia" w:ascii="仿宋" w:hAnsi="仿宋" w:eastAsia="仿宋"/>
          <w:kern w:val="0"/>
          <w:sz w:val="24"/>
          <w:szCs w:val="24"/>
          <w:u w:val="single"/>
        </w:rPr>
        <w:t>（采购人）</w:t>
      </w:r>
    </w:p>
    <w:p w14:paraId="64F820A4">
      <w:pPr>
        <w:autoSpaceDE w:val="0"/>
        <w:autoSpaceDN w:val="0"/>
        <w:spacing w:line="360" w:lineRule="auto"/>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我单位将遵循公开、公正和诚实信用的原则参加</w:t>
      </w:r>
      <w:r>
        <w:rPr>
          <w:rFonts w:hint="eastAsia" w:ascii="仿宋" w:hAnsi="仿宋" w:eastAsia="仿宋"/>
          <w:kern w:val="0"/>
          <w:sz w:val="24"/>
          <w:szCs w:val="24"/>
          <w:u w:val="single"/>
        </w:rPr>
        <w:t xml:space="preserve">  （项目名称）  </w:t>
      </w:r>
      <w:r>
        <w:rPr>
          <w:rFonts w:hint="eastAsia" w:ascii="仿宋" w:hAnsi="仿宋" w:eastAsia="仿宋"/>
          <w:kern w:val="0"/>
          <w:sz w:val="24"/>
          <w:szCs w:val="24"/>
        </w:rPr>
        <w:t xml:space="preserve"> 的</w:t>
      </w:r>
      <w:r>
        <w:rPr>
          <w:rFonts w:hint="eastAsia" w:ascii="仿宋" w:hAnsi="仿宋" w:eastAsia="仿宋"/>
          <w:kern w:val="0"/>
          <w:sz w:val="24"/>
          <w:szCs w:val="24"/>
          <w:lang w:val="en-US" w:eastAsia="zh-CN"/>
        </w:rPr>
        <w:t>采购活动</w:t>
      </w:r>
      <w:r>
        <w:rPr>
          <w:rFonts w:hint="eastAsia" w:ascii="仿宋" w:hAnsi="仿宋" w:eastAsia="仿宋"/>
          <w:kern w:val="0"/>
          <w:sz w:val="24"/>
          <w:szCs w:val="24"/>
        </w:rPr>
        <w:t>，在参加项目的交易活动过程中，郑重承诺如下</w:t>
      </w:r>
      <w:r>
        <w:rPr>
          <w:rFonts w:hint="eastAsia" w:ascii="仿宋" w:hAnsi="仿宋" w:eastAsia="仿宋"/>
          <w:kern w:val="0"/>
          <w:sz w:val="24"/>
          <w:szCs w:val="24"/>
          <w:lang w:eastAsia="zh-CN"/>
        </w:rPr>
        <w:t>：</w:t>
      </w:r>
    </w:p>
    <w:p w14:paraId="28796134">
      <w:pPr>
        <w:autoSpaceDE w:val="0"/>
        <w:autoSpaceDN w:val="0"/>
        <w:spacing w:line="360" w:lineRule="auto"/>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成交后，将按照规定及时与采购人签订政府采购合同，不与采购人订立有悖于采购结果的合同或协议；严格履行政府采购合同，不降低合同约定的产品质量和服务，不擅自变更、中止、终止合同，或者拒绝履行合同义务。</w:t>
      </w:r>
    </w:p>
    <w:p w14:paraId="351F26E4">
      <w:pPr>
        <w:autoSpaceDE w:val="0"/>
        <w:autoSpaceDN w:val="0"/>
        <w:spacing w:line="360" w:lineRule="auto"/>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本单位对上述承诺的真实性负责。如有虚假，将依法承担相应责任。</w:t>
      </w:r>
    </w:p>
    <w:p w14:paraId="0C59D6A4">
      <w:pPr>
        <w:autoSpaceDE w:val="0"/>
        <w:autoSpaceDN w:val="0"/>
        <w:spacing w:line="360" w:lineRule="auto"/>
        <w:ind w:firstLine="480" w:firstLineChars="200"/>
        <w:jc w:val="right"/>
        <w:rPr>
          <w:rFonts w:ascii="仿宋" w:hAnsi="仿宋" w:eastAsia="仿宋"/>
          <w:kern w:val="0"/>
          <w:sz w:val="24"/>
          <w:szCs w:val="24"/>
        </w:rPr>
      </w:pPr>
    </w:p>
    <w:p w14:paraId="271481FF">
      <w:pPr>
        <w:spacing w:line="360" w:lineRule="auto"/>
        <w:ind w:firstLine="420" w:firstLineChars="200"/>
        <w:jc w:val="right"/>
        <w:rPr>
          <w:rFonts w:hint="eastAsia" w:ascii="仿宋" w:hAnsi="仿宋" w:eastAsia="仿宋"/>
        </w:rPr>
      </w:pPr>
      <w:r>
        <w:rPr>
          <w:rFonts w:hint="eastAsia" w:ascii="仿宋" w:hAnsi="仿宋" w:eastAsia="仿宋"/>
        </w:rPr>
        <w:t>供应商:(盖单位公章)</w:t>
      </w:r>
    </w:p>
    <w:p w14:paraId="60465BBA">
      <w:pPr>
        <w:spacing w:line="360" w:lineRule="auto"/>
        <w:ind w:firstLine="420" w:firstLineChars="200"/>
        <w:jc w:val="right"/>
        <w:rPr>
          <w:rFonts w:hint="eastAsia" w:ascii="仿宋" w:hAnsi="仿宋" w:eastAsia="仿宋"/>
        </w:rPr>
      </w:pPr>
      <w:r>
        <w:rPr>
          <w:rFonts w:hint="eastAsia" w:ascii="仿宋" w:hAnsi="仿宋" w:eastAsia="仿宋"/>
        </w:rPr>
        <w:t>法定代表人:(签字或盖章)</w:t>
      </w:r>
    </w:p>
    <w:p w14:paraId="3FC6D390">
      <w:pPr>
        <w:autoSpaceDE w:val="0"/>
        <w:autoSpaceDN w:val="0"/>
        <w:spacing w:line="360" w:lineRule="auto"/>
        <w:ind w:firstLine="420" w:firstLineChars="200"/>
        <w:jc w:val="right"/>
        <w:rPr>
          <w:rFonts w:hint="eastAsia" w:ascii="仿宋" w:hAnsi="仿宋" w:eastAsia="仿宋"/>
        </w:rPr>
        <w:sectPr>
          <w:headerReference r:id="rId8" w:type="default"/>
          <w:footerReference r:id="rId9" w:type="default"/>
          <w:footnotePr>
            <w:numFmt w:val="decimalEnclosedCircleChinese"/>
          </w:footnotePr>
          <w:pgSz w:w="11907" w:h="16840"/>
          <w:pgMar w:top="1440" w:right="1800" w:bottom="1440" w:left="1800" w:header="851" w:footer="851" w:gutter="0"/>
          <w:cols w:space="720" w:num="1"/>
          <w:docGrid w:linePitch="312" w:charSpace="0"/>
        </w:sectPr>
      </w:pPr>
      <w:r>
        <w:rPr>
          <w:rFonts w:hint="eastAsia" w:ascii="仿宋" w:hAnsi="仿宋" w:eastAsia="仿宋"/>
        </w:rPr>
        <w:t xml:space="preserve">日期:   年   月  </w:t>
      </w:r>
    </w:p>
    <w:p w14:paraId="3FB6595E">
      <w:pPr>
        <w:pStyle w:val="5"/>
        <w:rPr>
          <w:rFonts w:hint="eastAsia" w:ascii="仿宋" w:hAnsi="仿宋" w:eastAsia="仿宋"/>
        </w:rPr>
      </w:pPr>
      <w:r>
        <w:rPr>
          <w:rFonts w:hint="eastAsia" w:ascii="仿宋" w:hAnsi="仿宋" w:eastAsia="仿宋"/>
        </w:rPr>
        <w:t>十、</w:t>
      </w:r>
      <w:r>
        <w:rPr>
          <w:rFonts w:eastAsia="仿宋"/>
        </w:rPr>
        <w:t>其他证明材料</w:t>
      </w:r>
    </w:p>
    <w:p w14:paraId="7C2E3CC0">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1.法定代表人授权委托书或法定代表人证明</w:t>
      </w:r>
    </w:p>
    <w:p w14:paraId="25B49BD4">
      <w:pPr>
        <w:wordWrap w:val="0"/>
        <w:topLinePunct/>
        <w:spacing w:line="360" w:lineRule="auto"/>
        <w:jc w:val="center"/>
        <w:outlineLvl w:val="3"/>
        <w:rPr>
          <w:rFonts w:eastAsia="仿宋"/>
          <w:b/>
          <w:sz w:val="28"/>
          <w:szCs w:val="28"/>
        </w:rPr>
      </w:pPr>
      <w:bookmarkStart w:id="16" w:name="_Hlk130929567"/>
      <w:r>
        <w:rPr>
          <w:rFonts w:eastAsia="仿宋"/>
          <w:b/>
          <w:sz w:val="28"/>
          <w:szCs w:val="28"/>
        </w:rPr>
        <w:t>法定代表人授权委托书</w:t>
      </w:r>
      <w:r>
        <w:rPr>
          <w:rStyle w:val="40"/>
          <w:rFonts w:eastAsia="仿宋"/>
          <w:b/>
          <w:sz w:val="28"/>
          <w:szCs w:val="28"/>
        </w:rPr>
        <w:footnoteReference w:id="0"/>
      </w:r>
    </w:p>
    <w:p w14:paraId="1776BE6D">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本授权委托书申明，我</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姓名</w:t>
      </w:r>
      <w:r>
        <w:rPr>
          <w:rFonts w:hint="eastAsia" w:ascii="仿宋" w:hAnsi="仿宋" w:eastAsia="仿宋"/>
          <w:sz w:val="24"/>
          <w:szCs w:val="24"/>
          <w:u w:val="single"/>
          <w:lang w:eastAsia="zh-CN"/>
        </w:rPr>
        <w:t>）</w:t>
      </w:r>
      <w:r>
        <w:rPr>
          <w:rFonts w:hint="eastAsia" w:ascii="仿宋" w:hAnsi="仿宋" w:eastAsia="仿宋"/>
          <w:sz w:val="24"/>
          <w:szCs w:val="24"/>
        </w:rPr>
        <w:t>系</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w:t>
      </w:r>
      <w:r>
        <w:rPr>
          <w:rFonts w:hint="eastAsia" w:ascii="仿宋" w:hAnsi="仿宋" w:eastAsia="仿宋"/>
          <w:sz w:val="24"/>
          <w:szCs w:val="24"/>
          <w:u w:val="single"/>
        </w:rPr>
        <w:t>供应商名称</w:t>
      </w:r>
      <w:r>
        <w:rPr>
          <w:rFonts w:hint="eastAsia" w:ascii="仿宋" w:hAnsi="仿宋" w:eastAsia="仿宋"/>
          <w:sz w:val="24"/>
          <w:szCs w:val="24"/>
          <w:u w:val="single"/>
          <w:lang w:eastAsia="zh-CN"/>
        </w:rPr>
        <w:t>）</w:t>
      </w:r>
      <w:r>
        <w:rPr>
          <w:rFonts w:hint="eastAsia" w:ascii="仿宋" w:hAnsi="仿宋" w:eastAsia="仿宋"/>
          <w:sz w:val="24"/>
          <w:szCs w:val="24"/>
        </w:rPr>
        <w:t>的法定代表人，现授权委托</w:t>
      </w:r>
      <w:r>
        <w:rPr>
          <w:rFonts w:hint="eastAsia" w:ascii="仿宋" w:hAnsi="仿宋" w:eastAsia="仿宋"/>
          <w:sz w:val="24"/>
          <w:szCs w:val="24"/>
          <w:u w:val="single"/>
        </w:rPr>
        <w:t>    </w:t>
      </w:r>
      <w:r>
        <w:rPr>
          <w:rFonts w:hint="eastAsia" w:ascii="仿宋" w:hAnsi="仿宋" w:eastAsia="仿宋"/>
          <w:sz w:val="24"/>
          <w:szCs w:val="24"/>
          <w:u w:val="single"/>
          <w:lang w:eastAsia="zh-CN"/>
        </w:rPr>
        <w:t>（</w:t>
      </w:r>
      <w:r>
        <w:rPr>
          <w:rFonts w:hint="eastAsia" w:ascii="仿宋" w:hAnsi="仿宋" w:eastAsia="仿宋"/>
          <w:sz w:val="24"/>
          <w:szCs w:val="24"/>
          <w:u w:val="single"/>
        </w:rPr>
        <w:t>姓名</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rPr>
        <w:t>为我方授权委托人，参</w:t>
      </w:r>
      <w:r>
        <w:rPr>
          <w:rFonts w:hint="eastAsia" w:ascii="仿宋" w:hAnsi="仿宋" w:eastAsia="仿宋"/>
          <w:sz w:val="24"/>
          <w:szCs w:val="24"/>
          <w:u w:val="single"/>
        </w:rPr>
        <w:t>加      </w:t>
      </w:r>
      <w:r>
        <w:rPr>
          <w:rFonts w:hint="eastAsia" w:ascii="仿宋" w:hAnsi="仿宋" w:eastAsia="仿宋"/>
          <w:sz w:val="24"/>
          <w:szCs w:val="24"/>
          <w:u w:val="single"/>
          <w:lang w:eastAsia="zh-CN"/>
        </w:rPr>
        <w:t>（</w:t>
      </w:r>
      <w:r>
        <w:rPr>
          <w:rFonts w:hint="eastAsia" w:ascii="仿宋" w:hAnsi="仿宋" w:eastAsia="仿宋"/>
          <w:sz w:val="24"/>
          <w:szCs w:val="24"/>
          <w:u w:val="single"/>
        </w:rPr>
        <w:t>采购人名称</w:t>
      </w:r>
      <w:r>
        <w:rPr>
          <w:rFonts w:hint="eastAsia" w:ascii="仿宋" w:hAnsi="仿宋" w:eastAsia="仿宋"/>
          <w:sz w:val="24"/>
          <w:szCs w:val="24"/>
          <w:u w:val="single"/>
          <w:lang w:eastAsia="zh-CN"/>
        </w:rPr>
        <w:t>）</w:t>
      </w:r>
      <w:r>
        <w:rPr>
          <w:rFonts w:hint="eastAsia" w:ascii="仿宋" w:hAnsi="仿宋" w:eastAsia="仿宋"/>
          <w:sz w:val="24"/>
          <w:szCs w:val="24"/>
          <w:u w:val="single"/>
        </w:rPr>
        <w:t>       </w:t>
      </w:r>
      <w:r>
        <w:rPr>
          <w:rFonts w:hint="eastAsia" w:ascii="仿宋" w:hAnsi="仿宋" w:eastAsia="仿宋"/>
          <w:sz w:val="24"/>
          <w:szCs w:val="24"/>
          <w:u w:val="single"/>
          <w:lang w:eastAsia="zh-CN"/>
        </w:rPr>
        <w:t>（</w:t>
      </w:r>
      <w:r>
        <w:rPr>
          <w:rFonts w:hint="eastAsia" w:ascii="仿宋" w:hAnsi="仿宋" w:eastAsia="仿宋"/>
          <w:sz w:val="24"/>
          <w:szCs w:val="24"/>
          <w:u w:val="single"/>
        </w:rPr>
        <w:t>项目名称</w:t>
      </w:r>
      <w:r>
        <w:rPr>
          <w:rFonts w:hint="eastAsia" w:ascii="仿宋" w:hAnsi="仿宋" w:eastAsia="仿宋"/>
          <w:sz w:val="24"/>
          <w:szCs w:val="24"/>
          <w:u w:val="single"/>
          <w:lang w:eastAsia="zh-CN"/>
        </w:rPr>
        <w:t>）</w:t>
      </w:r>
      <w:r>
        <w:rPr>
          <w:rFonts w:hint="eastAsia" w:ascii="仿宋" w:hAnsi="仿宋" w:eastAsia="仿宋"/>
          <w:sz w:val="24"/>
          <w:szCs w:val="24"/>
          <w:u w:val="single"/>
        </w:rPr>
        <w:t xml:space="preserve"> </w:t>
      </w:r>
      <w:r>
        <w:rPr>
          <w:rFonts w:hint="eastAsia" w:ascii="仿宋" w:hAnsi="仿宋" w:eastAsia="仿宋"/>
          <w:sz w:val="24"/>
          <w:szCs w:val="24"/>
        </w:rPr>
        <w:t>的竞争性磋商采购活动。授权委托人在本项目的竞争性磋商采购活动、</w:t>
      </w:r>
      <w:r>
        <w:rPr>
          <w:rFonts w:hint="eastAsia" w:ascii="仿宋" w:hAnsi="仿宋" w:eastAsia="仿宋"/>
          <w:sz w:val="24"/>
          <w:szCs w:val="24"/>
          <w:lang w:eastAsia="zh-CN"/>
        </w:rPr>
        <w:t>合同洽谈</w:t>
      </w:r>
      <w:r>
        <w:rPr>
          <w:rFonts w:hint="eastAsia" w:ascii="仿宋" w:hAnsi="仿宋" w:eastAsia="仿宋"/>
          <w:sz w:val="24"/>
          <w:szCs w:val="24"/>
        </w:rPr>
        <w:t>及合同的执行和保修保养时签署的一切文件和处理与之有关的一切事务，我均予以承认，并承担其法律后果。委托期限：自本委托书签发之日起，至本项目履约结束时止。</w:t>
      </w:r>
    </w:p>
    <w:p w14:paraId="5737D131">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授权委托人无转委托权，特此委托。</w:t>
      </w:r>
    </w:p>
    <w:p w14:paraId="3081C12A">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授权委托人：</w:t>
      </w:r>
      <w:r>
        <w:rPr>
          <w:rFonts w:hint="eastAsia" w:ascii="仿宋" w:hAnsi="仿宋" w:eastAsia="仿宋"/>
          <w:sz w:val="24"/>
          <w:szCs w:val="24"/>
          <w:u w:val="single"/>
        </w:rPr>
        <w:t>              </w:t>
      </w:r>
      <w:r>
        <w:rPr>
          <w:rFonts w:hint="eastAsia" w:ascii="仿宋" w:hAnsi="仿宋" w:eastAsia="仿宋"/>
          <w:sz w:val="24"/>
          <w:szCs w:val="24"/>
        </w:rPr>
        <w:t>（</w:t>
      </w:r>
      <w:r>
        <w:rPr>
          <w:rFonts w:hint="eastAsia" w:ascii="仿宋" w:hAnsi="仿宋" w:eastAsia="仿宋"/>
          <w:sz w:val="24"/>
          <w:szCs w:val="24"/>
          <w:lang w:val="en-US" w:eastAsia="zh-CN"/>
        </w:rPr>
        <w:t>签字或盖章</w:t>
      </w:r>
      <w:r>
        <w:rPr>
          <w:rFonts w:hint="eastAsia" w:ascii="仿宋" w:hAnsi="仿宋" w:eastAsia="仿宋"/>
          <w:sz w:val="24"/>
          <w:szCs w:val="24"/>
        </w:rPr>
        <w:t>）</w:t>
      </w:r>
    </w:p>
    <w:p w14:paraId="620BE672">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授权委托人身份证号码：</w:t>
      </w:r>
      <w:r>
        <w:rPr>
          <w:rFonts w:hint="eastAsia" w:ascii="仿宋" w:hAnsi="仿宋" w:eastAsia="仿宋"/>
          <w:sz w:val="24"/>
          <w:szCs w:val="24"/>
          <w:u w:val="single"/>
        </w:rPr>
        <w:t xml:space="preserve">                   </w:t>
      </w:r>
    </w:p>
    <w:p w14:paraId="282803A2">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授权委托人联系方式：</w:t>
      </w:r>
      <w:r>
        <w:rPr>
          <w:rFonts w:hint="eastAsia" w:ascii="仿宋" w:hAnsi="仿宋" w:eastAsia="仿宋"/>
          <w:sz w:val="24"/>
          <w:szCs w:val="24"/>
          <w:u w:val="single"/>
        </w:rPr>
        <w:t>                  </w:t>
      </w:r>
    </w:p>
    <w:p w14:paraId="4E241563">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性别：</w:t>
      </w:r>
      <w:r>
        <w:rPr>
          <w:rFonts w:hint="eastAsia" w:ascii="仿宋" w:hAnsi="仿宋" w:eastAsia="仿宋"/>
          <w:sz w:val="24"/>
          <w:szCs w:val="24"/>
          <w:u w:val="single"/>
        </w:rPr>
        <w:t xml:space="preserve">               </w:t>
      </w:r>
    </w:p>
    <w:p w14:paraId="1DC7C070">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年龄：</w:t>
      </w:r>
      <w:r>
        <w:rPr>
          <w:rFonts w:hint="eastAsia" w:ascii="仿宋" w:hAnsi="仿宋" w:eastAsia="仿宋"/>
          <w:sz w:val="24"/>
          <w:szCs w:val="24"/>
          <w:u w:val="single"/>
        </w:rPr>
        <w:t xml:space="preserve">              </w:t>
      </w:r>
    </w:p>
    <w:p w14:paraId="413347C7">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供应商：</w:t>
      </w:r>
      <w:r>
        <w:rPr>
          <w:rFonts w:hint="eastAsia" w:ascii="仿宋" w:hAnsi="仿宋" w:eastAsia="仿宋"/>
          <w:sz w:val="24"/>
          <w:szCs w:val="24"/>
          <w:u w:val="single"/>
        </w:rPr>
        <w:t>              </w:t>
      </w:r>
      <w:r>
        <w:rPr>
          <w:rFonts w:hint="eastAsia" w:ascii="仿宋" w:hAnsi="仿宋" w:eastAsia="仿宋"/>
          <w:sz w:val="24"/>
          <w:szCs w:val="24"/>
          <w:lang w:eastAsia="zh-CN"/>
        </w:rPr>
        <w:t>（</w:t>
      </w:r>
      <w:r>
        <w:rPr>
          <w:rFonts w:hint="eastAsia" w:ascii="仿宋" w:hAnsi="仿宋" w:eastAsia="仿宋"/>
          <w:sz w:val="24"/>
          <w:szCs w:val="24"/>
        </w:rPr>
        <w:t>盖单位印章</w:t>
      </w:r>
      <w:r>
        <w:rPr>
          <w:rFonts w:hint="eastAsia" w:ascii="仿宋" w:hAnsi="仿宋" w:eastAsia="仿宋"/>
          <w:sz w:val="24"/>
          <w:szCs w:val="24"/>
          <w:lang w:eastAsia="zh-CN"/>
        </w:rPr>
        <w:t>）</w:t>
      </w:r>
    </w:p>
    <w:p w14:paraId="44F9CF97">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w:t>
      </w:r>
      <w:r>
        <w:rPr>
          <w:rFonts w:hint="eastAsia" w:ascii="仿宋" w:hAnsi="仿宋" w:eastAsia="仿宋"/>
          <w:sz w:val="24"/>
          <w:szCs w:val="24"/>
        </w:rPr>
        <w:t>（</w:t>
      </w:r>
      <w:r>
        <w:rPr>
          <w:rFonts w:hint="eastAsia" w:ascii="仿宋" w:hAnsi="仿宋" w:eastAsia="仿宋"/>
          <w:sz w:val="24"/>
          <w:szCs w:val="24"/>
          <w:lang w:val="en-US" w:eastAsia="zh-CN"/>
        </w:rPr>
        <w:t>签字或盖章</w:t>
      </w:r>
      <w:r>
        <w:rPr>
          <w:rFonts w:hint="eastAsia" w:ascii="仿宋" w:hAnsi="仿宋" w:eastAsia="仿宋"/>
          <w:sz w:val="24"/>
          <w:szCs w:val="24"/>
        </w:rPr>
        <w:t>）</w:t>
      </w:r>
    </w:p>
    <w:p w14:paraId="6D746020">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法定代表人身份证号码：</w:t>
      </w:r>
      <w:r>
        <w:rPr>
          <w:rFonts w:hint="eastAsia" w:ascii="仿宋" w:hAnsi="仿宋" w:eastAsia="仿宋"/>
          <w:sz w:val="24"/>
          <w:szCs w:val="24"/>
          <w:u w:val="single"/>
        </w:rPr>
        <w:t>                </w:t>
      </w:r>
    </w:p>
    <w:p w14:paraId="44894FA2">
      <w:pPr>
        <w:keepNext w:val="0"/>
        <w:keepLines w:val="0"/>
        <w:pageBreakBefore w:val="0"/>
        <w:widowControl w:val="0"/>
        <w:kinsoku/>
        <w:wordWrap w:val="0"/>
        <w:overflowPunct/>
        <w:topLine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t>签发日期</w:t>
      </w:r>
      <w:r>
        <w:rPr>
          <w:rFonts w:hint="eastAsia" w:ascii="仿宋" w:hAnsi="仿宋" w:eastAsia="仿宋"/>
          <w:sz w:val="24"/>
          <w:szCs w:val="24"/>
          <w:lang w:eastAsia="zh-CN"/>
        </w:rPr>
        <w:t>：</w:t>
      </w:r>
      <w:r>
        <w:rPr>
          <w:rFonts w:hint="eastAsia" w:ascii="仿宋" w:hAnsi="仿宋" w:eastAsia="仿宋"/>
          <w:sz w:val="24"/>
          <w:szCs w:val="24"/>
        </w:rPr>
        <w:t xml:space="preserve">     年   月  日 </w:t>
      </w:r>
    </w:p>
    <w:p w14:paraId="3AE7E6B9">
      <w:pPr>
        <w:wordWrap w:val="0"/>
        <w:topLinePunct/>
        <w:spacing w:line="360" w:lineRule="auto"/>
        <w:ind w:firstLine="643" w:firstLineChars="200"/>
        <w:rPr>
          <w:rFonts w:eastAsia="仿宋"/>
          <w:b/>
          <w:sz w:val="32"/>
          <w:szCs w:val="32"/>
        </w:rPr>
      </w:pPr>
    </w:p>
    <w:p w14:paraId="5F6F2060">
      <w:pPr>
        <w:wordWrap w:val="0"/>
        <w:topLinePunct/>
        <w:spacing w:line="360" w:lineRule="auto"/>
        <w:jc w:val="center"/>
        <w:rPr>
          <w:rFonts w:eastAsia="仿宋"/>
          <w:b/>
          <w:sz w:val="28"/>
          <w:szCs w:val="28"/>
        </w:rPr>
      </w:pPr>
      <w:r>
        <w:rPr>
          <w:rFonts w:eastAsia="仿宋"/>
          <w:b/>
          <w:sz w:val="28"/>
          <w:szCs w:val="28"/>
        </w:rPr>
        <w:t>须提供法定代表人及授权人身份证正反两面扫描件</w:t>
      </w:r>
    </w:p>
    <w:p w14:paraId="779F11BA">
      <w:pPr>
        <w:wordWrap w:val="0"/>
        <w:topLinePunct/>
        <w:spacing w:line="360" w:lineRule="auto"/>
        <w:jc w:val="center"/>
        <w:rPr>
          <w:rFonts w:eastAsia="仿宋"/>
          <w:b/>
          <w:sz w:val="32"/>
          <w:szCs w:val="32"/>
        </w:rPr>
      </w:pPr>
    </w:p>
    <w:p w14:paraId="693963F4">
      <w:pPr>
        <w:wordWrap w:val="0"/>
        <w:topLinePunct/>
        <w:spacing w:line="360" w:lineRule="auto"/>
        <w:jc w:val="center"/>
        <w:outlineLvl w:val="3"/>
        <w:rPr>
          <w:rFonts w:eastAsia="仿宋"/>
          <w:b/>
          <w:sz w:val="32"/>
          <w:szCs w:val="32"/>
        </w:rPr>
      </w:pPr>
      <w:r>
        <w:rPr>
          <w:rFonts w:eastAsia="仿宋"/>
          <w:b/>
          <w:sz w:val="32"/>
          <w:szCs w:val="32"/>
        </w:rPr>
        <w:br w:type="page"/>
      </w:r>
      <w:r>
        <w:rPr>
          <w:rFonts w:eastAsia="仿宋"/>
          <w:b/>
          <w:sz w:val="28"/>
          <w:szCs w:val="28"/>
        </w:rPr>
        <w:t>法定代表人证明</w:t>
      </w:r>
      <w:r>
        <w:rPr>
          <w:rStyle w:val="40"/>
          <w:rFonts w:eastAsia="仿宋"/>
          <w:b/>
          <w:sz w:val="28"/>
          <w:szCs w:val="28"/>
        </w:rPr>
        <w:footnoteReference w:id="1"/>
      </w:r>
    </w:p>
    <w:p w14:paraId="3506AF9A">
      <w:pPr>
        <w:wordWrap w:val="0"/>
        <w:topLinePunct/>
        <w:spacing w:line="360" w:lineRule="auto"/>
        <w:ind w:firstLine="420" w:firstLineChars="200"/>
        <w:rPr>
          <w:rFonts w:eastAsia="仿宋"/>
        </w:rPr>
      </w:pPr>
    </w:p>
    <w:p w14:paraId="2B7E31CF">
      <w:pPr>
        <w:keepNext w:val="0"/>
        <w:keepLines w:val="0"/>
        <w:pageBreakBefore w:val="0"/>
        <w:widowControl w:val="0"/>
        <w:kinsoku/>
        <w:wordWrap w:val="0"/>
        <w:overflowPunct/>
        <w:topLinePunct/>
        <w:autoSpaceDE/>
        <w:autoSpaceDN/>
        <w:bidi w:val="0"/>
        <w:snapToGrid/>
        <w:spacing w:line="360" w:lineRule="auto"/>
        <w:ind w:firstLine="420" w:firstLineChars="200"/>
        <w:rPr>
          <w:rFonts w:eastAsia="仿宋"/>
          <w:u w:val="single"/>
        </w:rPr>
      </w:pPr>
      <w:r>
        <w:rPr>
          <w:rFonts w:eastAsia="仿宋"/>
          <w:u w:val="single"/>
        </w:rPr>
        <w:t xml:space="preserve">           （法定代表人姓名）</w:t>
      </w:r>
      <w:r>
        <w:rPr>
          <w:rFonts w:eastAsia="仿宋"/>
        </w:rPr>
        <w:t>系</w:t>
      </w:r>
      <w:r>
        <w:rPr>
          <w:rFonts w:eastAsia="仿宋"/>
          <w:u w:val="single"/>
        </w:rPr>
        <w:t xml:space="preserve">              （供应商名称）</w:t>
      </w:r>
      <w:r>
        <w:rPr>
          <w:rFonts w:eastAsia="仿宋"/>
        </w:rPr>
        <w:t xml:space="preserve">法定代表人，职务为 </w:t>
      </w:r>
      <w:r>
        <w:rPr>
          <w:rFonts w:eastAsia="仿宋"/>
          <w:u w:val="single"/>
        </w:rPr>
        <w:t xml:space="preserve">            （职务名称）</w:t>
      </w:r>
      <w:r>
        <w:rPr>
          <w:rFonts w:eastAsia="仿宋"/>
        </w:rPr>
        <w:t>。</w:t>
      </w:r>
    </w:p>
    <w:p w14:paraId="44ECC845">
      <w:pPr>
        <w:keepNext w:val="0"/>
        <w:keepLines w:val="0"/>
        <w:pageBreakBefore w:val="0"/>
        <w:widowControl w:val="0"/>
        <w:kinsoku/>
        <w:wordWrap w:val="0"/>
        <w:overflowPunct/>
        <w:topLinePunct/>
        <w:autoSpaceDE/>
        <w:autoSpaceDN/>
        <w:bidi w:val="0"/>
        <w:snapToGrid/>
        <w:spacing w:line="360" w:lineRule="auto"/>
        <w:ind w:firstLine="420" w:firstLineChars="200"/>
        <w:rPr>
          <w:rFonts w:eastAsia="仿宋"/>
        </w:rPr>
      </w:pPr>
      <w:r>
        <w:rPr>
          <w:rFonts w:eastAsia="仿宋"/>
        </w:rPr>
        <w:t>特此证明。</w:t>
      </w:r>
    </w:p>
    <w:p w14:paraId="1B25CD9E">
      <w:pPr>
        <w:keepNext w:val="0"/>
        <w:keepLines w:val="0"/>
        <w:pageBreakBefore w:val="0"/>
        <w:widowControl w:val="0"/>
        <w:kinsoku/>
        <w:wordWrap w:val="0"/>
        <w:overflowPunct/>
        <w:topLinePunct/>
        <w:autoSpaceDE/>
        <w:autoSpaceDN/>
        <w:bidi w:val="0"/>
        <w:snapToGrid/>
        <w:spacing w:line="360" w:lineRule="auto"/>
        <w:ind w:firstLine="420" w:firstLineChars="200"/>
        <w:rPr>
          <w:rFonts w:eastAsia="仿宋"/>
        </w:rPr>
      </w:pPr>
      <w:r>
        <w:rPr>
          <w:rFonts w:eastAsia="仿宋"/>
        </w:rPr>
        <w:t>附：法定代表人身份证号码：</w:t>
      </w:r>
      <w:r>
        <w:rPr>
          <w:rFonts w:eastAsia="仿宋"/>
          <w:u w:val="single"/>
        </w:rPr>
        <w:t xml:space="preserve">                    </w:t>
      </w:r>
      <w:r>
        <w:rPr>
          <w:rFonts w:eastAsia="仿宋"/>
        </w:rPr>
        <w:t>。</w:t>
      </w:r>
    </w:p>
    <w:p w14:paraId="6CC1D608">
      <w:pPr>
        <w:keepNext w:val="0"/>
        <w:keepLines w:val="0"/>
        <w:pageBreakBefore w:val="0"/>
        <w:widowControl w:val="0"/>
        <w:kinsoku/>
        <w:wordWrap w:val="0"/>
        <w:overflowPunct/>
        <w:topLinePunct/>
        <w:autoSpaceDE/>
        <w:autoSpaceDN/>
        <w:bidi w:val="0"/>
        <w:snapToGrid/>
        <w:spacing w:line="360" w:lineRule="auto"/>
        <w:ind w:firstLine="420" w:firstLineChars="200"/>
        <w:rPr>
          <w:rFonts w:eastAsia="仿宋"/>
        </w:rPr>
      </w:pPr>
    </w:p>
    <w:p w14:paraId="0367892E">
      <w:pPr>
        <w:keepNext w:val="0"/>
        <w:keepLines w:val="0"/>
        <w:pageBreakBefore w:val="0"/>
        <w:widowControl w:val="0"/>
        <w:kinsoku/>
        <w:wordWrap w:val="0"/>
        <w:overflowPunct/>
        <w:topLinePunct/>
        <w:autoSpaceDE/>
        <w:autoSpaceDN/>
        <w:bidi w:val="0"/>
        <w:snapToGrid/>
        <w:spacing w:line="360" w:lineRule="auto"/>
        <w:ind w:firstLine="420" w:firstLineChars="200"/>
        <w:jc w:val="right"/>
        <w:rPr>
          <w:rFonts w:eastAsia="仿宋"/>
        </w:rPr>
      </w:pPr>
      <w:r>
        <w:rPr>
          <w:rFonts w:eastAsia="仿宋"/>
        </w:rPr>
        <w:t>供应商：</w:t>
      </w:r>
      <w:r>
        <w:rPr>
          <w:rFonts w:eastAsia="仿宋"/>
          <w:u w:val="single"/>
        </w:rPr>
        <w:t xml:space="preserve">          </w:t>
      </w:r>
      <w:r>
        <w:rPr>
          <w:rFonts w:eastAsia="仿宋"/>
        </w:rPr>
        <w:t>（盖单位印章</w:t>
      </w:r>
      <w:r>
        <w:rPr>
          <w:rFonts w:hint="eastAsia" w:eastAsia="仿宋"/>
          <w:lang w:eastAsia="zh-CN"/>
        </w:rPr>
        <w:t>）</w:t>
      </w:r>
      <w:r>
        <w:rPr>
          <w:rFonts w:eastAsia="仿宋"/>
        </w:rPr>
        <w:t xml:space="preserve"> </w:t>
      </w:r>
    </w:p>
    <w:p w14:paraId="2E50C18F">
      <w:pPr>
        <w:keepNext w:val="0"/>
        <w:keepLines w:val="0"/>
        <w:pageBreakBefore w:val="0"/>
        <w:widowControl w:val="0"/>
        <w:kinsoku/>
        <w:wordWrap w:val="0"/>
        <w:overflowPunct/>
        <w:topLinePunct/>
        <w:autoSpaceDE/>
        <w:autoSpaceDN/>
        <w:bidi w:val="0"/>
        <w:snapToGrid/>
        <w:spacing w:line="360" w:lineRule="auto"/>
        <w:ind w:firstLine="420" w:firstLineChars="200"/>
        <w:jc w:val="right"/>
        <w:rPr>
          <w:rFonts w:eastAsia="仿宋"/>
        </w:rPr>
      </w:pPr>
      <w:r>
        <w:rPr>
          <w:rFonts w:eastAsia="仿宋"/>
        </w:rPr>
        <w:t xml:space="preserve"> 年   月   日</w:t>
      </w:r>
    </w:p>
    <w:p w14:paraId="47977157">
      <w:pPr>
        <w:wordWrap w:val="0"/>
        <w:topLinePunct/>
        <w:spacing w:line="360" w:lineRule="auto"/>
        <w:ind w:firstLine="643" w:firstLineChars="200"/>
        <w:jc w:val="right"/>
        <w:rPr>
          <w:rFonts w:eastAsia="仿宋"/>
          <w:b/>
          <w:sz w:val="32"/>
          <w:szCs w:val="32"/>
        </w:rPr>
      </w:pPr>
    </w:p>
    <w:bookmarkEnd w:id="16"/>
    <w:p w14:paraId="528A2585">
      <w:pPr>
        <w:wordWrap w:val="0"/>
        <w:topLinePunct/>
        <w:spacing w:line="360" w:lineRule="auto"/>
        <w:jc w:val="center"/>
        <w:rPr>
          <w:rFonts w:eastAsia="仿宋"/>
          <w:b/>
          <w:sz w:val="28"/>
          <w:szCs w:val="28"/>
        </w:rPr>
      </w:pPr>
      <w:r>
        <w:rPr>
          <w:rFonts w:eastAsia="仿宋"/>
          <w:b/>
          <w:sz w:val="28"/>
          <w:szCs w:val="28"/>
        </w:rPr>
        <w:t>须提供法定代表人身份证正反两面扫描件</w:t>
      </w:r>
    </w:p>
    <w:p w14:paraId="5C3180A9">
      <w:pPr>
        <w:pageBreakBefore w:val="0"/>
        <w:widowControl w:val="0"/>
        <w:kinsoku/>
        <w:overflowPunct/>
        <w:autoSpaceDE/>
        <w:autoSpaceDN/>
        <w:bidi w:val="0"/>
        <w:snapToGrid/>
        <w:spacing w:line="360" w:lineRule="auto"/>
        <w:rPr>
          <w:rFonts w:hint="eastAsia" w:ascii="仿宋" w:hAnsi="仿宋" w:eastAsia="仿宋"/>
          <w:sz w:val="24"/>
          <w:szCs w:val="24"/>
        </w:rPr>
      </w:pPr>
    </w:p>
    <w:p w14:paraId="544DAF5E">
      <w:pPr>
        <w:pageBreakBefore w:val="0"/>
        <w:widowControl w:val="0"/>
        <w:kinsoku/>
        <w:overflowPunct/>
        <w:autoSpaceDE/>
        <w:autoSpaceDN/>
        <w:bidi w:val="0"/>
        <w:snapToGrid/>
        <w:spacing w:line="360" w:lineRule="auto"/>
        <w:ind w:firstLine="480" w:firstLineChars="200"/>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lang w:val="en-US" w:eastAsia="zh-CN"/>
        </w:rPr>
        <w:t>2.</w:t>
      </w:r>
      <w:r>
        <w:rPr>
          <w:rFonts w:hint="eastAsia" w:ascii="仿宋" w:hAnsi="仿宋" w:eastAsia="仿宋"/>
          <w:sz w:val="24"/>
          <w:szCs w:val="24"/>
        </w:rPr>
        <w:t>供应商按磋商文件《采购需求》及评审方法和标准要求提供证明材料。</w:t>
      </w:r>
    </w:p>
    <w:p w14:paraId="140473A5">
      <w:pPr>
        <w:pStyle w:val="5"/>
        <w:spacing w:line="500" w:lineRule="exact"/>
        <w:jc w:val="left"/>
        <w:rPr>
          <w:rFonts w:hint="eastAsia" w:ascii="仿宋" w:hAnsi="仿宋" w:eastAsia="仿宋"/>
          <w:sz w:val="21"/>
          <w:szCs w:val="21"/>
        </w:rPr>
        <w:sectPr>
          <w:pgSz w:w="11907" w:h="16840"/>
          <w:pgMar w:top="1440" w:right="1800" w:bottom="1440" w:left="1800" w:header="851" w:footer="851" w:gutter="0"/>
          <w:cols w:space="720" w:num="1"/>
          <w:docGrid w:linePitch="312" w:charSpace="0"/>
        </w:sectPr>
      </w:pPr>
    </w:p>
    <w:p w14:paraId="613C3996">
      <w:pPr>
        <w:pStyle w:val="5"/>
        <w:tabs>
          <w:tab w:val="left" w:pos="1843"/>
        </w:tabs>
        <w:rPr>
          <w:rFonts w:hint="eastAsia" w:ascii="仿宋" w:hAnsi="仿宋" w:eastAsia="仿宋"/>
        </w:rPr>
      </w:pPr>
      <w:r>
        <w:rPr>
          <w:rFonts w:hint="eastAsia" w:ascii="仿宋" w:hAnsi="仿宋" w:eastAsia="仿宋"/>
        </w:rPr>
        <w:t>十</w:t>
      </w:r>
      <w:r>
        <w:rPr>
          <w:rFonts w:hint="eastAsia" w:ascii="仿宋" w:hAnsi="仿宋" w:eastAsia="仿宋"/>
          <w:lang w:val="en-US" w:eastAsia="zh-CN"/>
        </w:rPr>
        <w:t>一</w:t>
      </w:r>
      <w:r>
        <w:rPr>
          <w:rFonts w:hint="eastAsia" w:ascii="仿宋" w:hAnsi="仿宋" w:eastAsia="仿宋"/>
        </w:rPr>
        <w:t>、</w:t>
      </w:r>
      <w:r>
        <w:rPr>
          <w:rFonts w:hint="eastAsia" w:ascii="仿宋" w:hAnsi="仿宋" w:eastAsia="仿宋"/>
          <w:bCs w:val="0"/>
          <w:sz w:val="30"/>
          <w:szCs w:val="30"/>
        </w:rPr>
        <w:t>供应商二次报价函（格式）</w:t>
      </w:r>
    </w:p>
    <w:p w14:paraId="195CB446">
      <w:pPr>
        <w:spacing w:line="360" w:lineRule="auto"/>
        <w:jc w:val="center"/>
        <w:rPr>
          <w:rFonts w:hint="eastAsia" w:ascii="仿宋" w:hAnsi="仿宋" w:eastAsia="仿宋"/>
          <w:b/>
          <w:sz w:val="28"/>
          <w:szCs w:val="28"/>
        </w:rPr>
      </w:pPr>
      <w:r>
        <w:rPr>
          <w:rFonts w:hint="eastAsia" w:ascii="仿宋" w:hAnsi="仿宋" w:eastAsia="仿宋"/>
          <w:b/>
          <w:sz w:val="28"/>
          <w:szCs w:val="28"/>
        </w:rPr>
        <w:t>二次报价函</w:t>
      </w:r>
    </w:p>
    <w:p w14:paraId="263A72ED">
      <w:pPr>
        <w:spacing w:line="360" w:lineRule="auto"/>
        <w:ind w:left="-1" w:leftChars="-135" w:hanging="282" w:hangingChars="117"/>
        <w:rPr>
          <w:rFonts w:hint="eastAsia" w:ascii="仿宋" w:hAnsi="仿宋" w:eastAsia="仿宋"/>
          <w:b/>
          <w:sz w:val="24"/>
        </w:rPr>
      </w:pPr>
      <w:r>
        <w:rPr>
          <w:rFonts w:hint="eastAsia" w:ascii="仿宋" w:hAnsi="仿宋" w:eastAsia="仿宋"/>
          <w:b/>
          <w:sz w:val="24"/>
        </w:rPr>
        <w:t>致：（代理机构全称）</w:t>
      </w:r>
    </w:p>
    <w:p w14:paraId="5C8BF28C">
      <w:pPr>
        <w:spacing w:line="360" w:lineRule="auto"/>
        <w:ind w:firstLine="420" w:firstLineChars="200"/>
        <w:rPr>
          <w:rFonts w:hint="eastAsia" w:ascii="仿宋" w:hAnsi="仿宋" w:eastAsia="仿宋"/>
        </w:rPr>
      </w:pPr>
      <w:r>
        <w:rPr>
          <w:rFonts w:hint="eastAsia" w:ascii="仿宋" w:hAnsi="仿宋" w:eastAsia="仿宋"/>
        </w:rPr>
        <w:t>1.在参与了本次竞争性磋商后，我方愿意按</w:t>
      </w:r>
      <w:r>
        <w:rPr>
          <w:rFonts w:hint="eastAsia" w:ascii="仿宋" w:hAnsi="仿宋" w:eastAsia="仿宋"/>
          <w:lang w:val="en-US" w:eastAsia="zh-CN"/>
        </w:rPr>
        <w:t>人名币</w:t>
      </w:r>
      <w:r>
        <w:rPr>
          <w:rFonts w:hint="eastAsia" w:ascii="仿宋" w:hAnsi="仿宋" w:eastAsia="仿宋"/>
          <w:u w:val="single"/>
        </w:rPr>
        <w:t xml:space="preserve">（大写）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u w:val="single"/>
          <w:lang w:val="en-US" w:eastAsia="zh-CN"/>
        </w:rPr>
        <w:t xml:space="preserve"> 元</w:t>
      </w:r>
      <w:r>
        <w:rPr>
          <w:rFonts w:hint="eastAsia" w:ascii="仿宋" w:hAnsi="仿宋" w:eastAsia="仿宋"/>
          <w:u w:val="single"/>
        </w:rPr>
        <w:t>)的</w:t>
      </w:r>
      <w:r>
        <w:rPr>
          <w:rFonts w:hint="eastAsia" w:ascii="仿宋" w:hAnsi="仿宋" w:eastAsia="仿宋"/>
        </w:rPr>
        <w:t>总价承担本次招标范围的所有内容；</w:t>
      </w:r>
    </w:p>
    <w:p w14:paraId="6641422A">
      <w:pPr>
        <w:snapToGrid w:val="0"/>
        <w:spacing w:line="360" w:lineRule="auto"/>
        <w:ind w:firstLine="420"/>
        <w:rPr>
          <w:rFonts w:hint="eastAsia" w:ascii="仿宋" w:hAnsi="仿宋" w:eastAsia="仿宋"/>
        </w:rPr>
      </w:pPr>
      <w:r>
        <w:rPr>
          <w:rFonts w:hint="eastAsia" w:ascii="仿宋" w:hAnsi="仿宋" w:eastAsia="仿宋"/>
        </w:rPr>
        <w:t>2.单价按二次报价/一次报价的同比率下降。</w:t>
      </w:r>
    </w:p>
    <w:p w14:paraId="3CCFBDDF">
      <w:pPr>
        <w:snapToGrid w:val="0"/>
        <w:spacing w:line="360" w:lineRule="auto"/>
        <w:ind w:firstLine="420"/>
        <w:rPr>
          <w:rFonts w:hint="eastAsia" w:ascii="仿宋" w:hAnsi="仿宋" w:eastAsia="仿宋"/>
        </w:rPr>
      </w:pPr>
      <w:r>
        <w:rPr>
          <w:rFonts w:hint="eastAsia" w:ascii="仿宋" w:hAnsi="仿宋" w:eastAsia="仿宋"/>
        </w:rPr>
        <w:t>3.如果我方成交，我方将保证在采购人要求的服务期内完成本项目的内容，并达到采购规定的要求；</w:t>
      </w:r>
    </w:p>
    <w:p w14:paraId="77D9A953">
      <w:pPr>
        <w:snapToGrid w:val="0"/>
        <w:spacing w:line="360" w:lineRule="auto"/>
        <w:ind w:firstLine="420" w:firstLineChars="200"/>
        <w:rPr>
          <w:rFonts w:hint="eastAsia" w:ascii="仿宋" w:hAnsi="仿宋" w:eastAsia="仿宋"/>
        </w:rPr>
      </w:pPr>
      <w:r>
        <w:rPr>
          <w:rFonts w:hint="eastAsia" w:ascii="仿宋" w:hAnsi="仿宋" w:eastAsia="仿宋"/>
        </w:rPr>
        <w:t>4.在合同书正式签署之前，本报价将构成我们双方之间共同遵守的文件内容，对双方具有约束力；</w:t>
      </w:r>
    </w:p>
    <w:p w14:paraId="049B1A24">
      <w:pPr>
        <w:snapToGrid w:val="0"/>
        <w:spacing w:line="360" w:lineRule="auto"/>
        <w:ind w:firstLine="420" w:firstLineChars="200"/>
        <w:rPr>
          <w:rFonts w:hint="eastAsia" w:ascii="仿宋" w:hAnsi="仿宋" w:eastAsia="仿宋"/>
        </w:rPr>
      </w:pPr>
      <w:r>
        <w:rPr>
          <w:rFonts w:hint="eastAsia" w:ascii="仿宋" w:hAnsi="仿宋" w:eastAsia="仿宋"/>
        </w:rPr>
        <w:t>5.我方愿意提供磋商文件可能另外要求的、与报价有关的文件资料，并保证我方已提供和将要提供的文件是真实的、准确的。</w:t>
      </w:r>
    </w:p>
    <w:p w14:paraId="08BC9EED">
      <w:pPr>
        <w:snapToGrid w:val="0"/>
        <w:spacing w:line="360" w:lineRule="auto"/>
        <w:ind w:firstLine="420" w:firstLineChars="200"/>
        <w:rPr>
          <w:rFonts w:hint="eastAsia" w:ascii="仿宋" w:hAnsi="仿宋" w:eastAsia="仿宋"/>
        </w:rPr>
      </w:pPr>
      <w:r>
        <w:rPr>
          <w:rFonts w:hint="eastAsia" w:ascii="仿宋" w:hAnsi="仿宋" w:eastAsia="仿宋"/>
        </w:rPr>
        <w:t>6.我们完全接受竞争性磋商文件中的相关规定。如有违反，贵处有权取消我单位成交资格，另选成交单位。</w:t>
      </w:r>
    </w:p>
    <w:p w14:paraId="5636B1AB">
      <w:pPr>
        <w:snapToGrid w:val="0"/>
        <w:spacing w:line="360" w:lineRule="auto"/>
        <w:ind w:firstLine="420" w:firstLineChars="200"/>
        <w:rPr>
          <w:rFonts w:hint="eastAsia" w:ascii="仿宋" w:hAnsi="仿宋" w:eastAsia="仿宋"/>
        </w:rPr>
      </w:pPr>
    </w:p>
    <w:p w14:paraId="521261C4">
      <w:pPr>
        <w:snapToGrid w:val="0"/>
        <w:spacing w:line="360" w:lineRule="auto"/>
        <w:ind w:firstLine="420" w:firstLineChars="200"/>
        <w:rPr>
          <w:rFonts w:hint="eastAsia" w:ascii="仿宋" w:hAnsi="仿宋" w:eastAsia="仿宋"/>
        </w:rPr>
      </w:pPr>
      <w:r>
        <w:rPr>
          <w:rFonts w:hint="eastAsia" w:ascii="仿宋" w:hAnsi="仿宋" w:eastAsia="仿宋"/>
        </w:rPr>
        <w:t>供应商（盖章）</w:t>
      </w:r>
    </w:p>
    <w:p w14:paraId="47F0128D">
      <w:pPr>
        <w:snapToGrid w:val="0"/>
        <w:spacing w:line="360" w:lineRule="auto"/>
        <w:ind w:firstLine="420" w:firstLineChars="200"/>
        <w:rPr>
          <w:rFonts w:hint="eastAsia" w:ascii="仿宋" w:hAnsi="仿宋" w:eastAsia="仿宋"/>
        </w:rPr>
      </w:pPr>
      <w:r>
        <w:rPr>
          <w:rFonts w:hint="eastAsia" w:ascii="仿宋" w:hAnsi="仿宋" w:eastAsia="仿宋"/>
        </w:rPr>
        <w:t>法定代表人或授权委托人（签字或盖章）</w:t>
      </w:r>
    </w:p>
    <w:p w14:paraId="6A839A87">
      <w:pPr>
        <w:snapToGrid w:val="0"/>
        <w:spacing w:line="360" w:lineRule="auto"/>
        <w:ind w:firstLine="420" w:firstLineChars="200"/>
        <w:rPr>
          <w:rFonts w:hint="eastAsia" w:ascii="仿宋" w:hAnsi="仿宋" w:eastAsia="仿宋"/>
        </w:rPr>
      </w:pPr>
      <w:r>
        <w:rPr>
          <w:rFonts w:hint="eastAsia" w:ascii="仿宋" w:hAnsi="仿宋" w:eastAsia="仿宋"/>
        </w:rPr>
        <w:t>年月日</w:t>
      </w:r>
    </w:p>
    <w:p w14:paraId="4B6FB1F0">
      <w:pPr>
        <w:spacing w:line="360" w:lineRule="auto"/>
        <w:ind w:firstLine="422" w:firstLineChars="200"/>
        <w:rPr>
          <w:rFonts w:hint="eastAsia" w:ascii="仿宋" w:hAnsi="仿宋" w:eastAsia="仿宋"/>
          <w:b/>
          <w:szCs w:val="22"/>
        </w:rPr>
      </w:pPr>
    </w:p>
    <w:p w14:paraId="08DEDD40">
      <w:pPr>
        <w:spacing w:line="360" w:lineRule="auto"/>
        <w:ind w:firstLine="422" w:firstLineChars="200"/>
        <w:rPr>
          <w:rFonts w:hint="eastAsia" w:ascii="仿宋" w:hAnsi="仿宋" w:eastAsia="仿宋"/>
          <w:b/>
          <w:szCs w:val="22"/>
        </w:rPr>
      </w:pPr>
      <w:r>
        <w:rPr>
          <w:rFonts w:hint="eastAsia" w:ascii="仿宋" w:hAnsi="仿宋" w:eastAsia="仿宋"/>
          <w:b/>
          <w:szCs w:val="22"/>
        </w:rPr>
        <w:t>注：</w:t>
      </w:r>
    </w:p>
    <w:p w14:paraId="59B4423D">
      <w:pPr>
        <w:spacing w:line="360" w:lineRule="auto"/>
        <w:ind w:firstLine="422" w:firstLineChars="200"/>
        <w:rPr>
          <w:rFonts w:hint="eastAsia" w:ascii="仿宋" w:hAnsi="仿宋" w:eastAsia="仿宋"/>
          <w:b/>
          <w:szCs w:val="22"/>
        </w:rPr>
      </w:pPr>
      <w:r>
        <w:rPr>
          <w:rFonts w:hint="eastAsia" w:ascii="仿宋" w:hAnsi="仿宋" w:eastAsia="仿宋"/>
          <w:b/>
          <w:szCs w:val="22"/>
        </w:rPr>
        <w:t>1.本项目以二次报价为最终报价。本报价函未按规定签字或盖章的，视为无效标处理。</w:t>
      </w:r>
    </w:p>
    <w:p w14:paraId="7027F3E4">
      <w:pPr>
        <w:spacing w:line="360" w:lineRule="auto"/>
        <w:ind w:firstLine="422" w:firstLineChars="200"/>
        <w:rPr>
          <w:rFonts w:hint="eastAsia" w:ascii="仿宋" w:hAnsi="仿宋" w:eastAsia="仿宋"/>
          <w:b/>
          <w:szCs w:val="22"/>
        </w:rPr>
      </w:pPr>
      <w:r>
        <w:rPr>
          <w:rFonts w:hint="eastAsia" w:ascii="仿宋" w:hAnsi="仿宋" w:eastAsia="仿宋"/>
          <w:b/>
          <w:szCs w:val="22"/>
        </w:rPr>
        <w:t>2.每个报价人需打印一份空白报价函，预先加盖单位公章和法定代表人（负责人）或授权委托人签字(手持)，用于竞争性磋商后的二次报</w:t>
      </w:r>
      <w:r>
        <w:rPr>
          <w:rFonts w:hint="eastAsia" w:ascii="仿宋" w:hAnsi="仿宋" w:eastAsia="仿宋"/>
          <w:b/>
          <w:szCs w:val="22"/>
          <w:lang w:val="en-US" w:eastAsia="zh-CN"/>
        </w:rPr>
        <w:t>价</w:t>
      </w:r>
    </w:p>
    <w:sectPr>
      <w:headerReference r:id="rId10" w:type="default"/>
      <w:footerReference r:id="rId11" w:type="default"/>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04731">
    <w:pPr>
      <w:pStyle w:val="21"/>
      <w:tabs>
        <w:tab w:val="clear" w:pos="4153"/>
        <w:tab w:val="clear" w:pos="8306"/>
      </w:tabs>
      <w:jc w:val="center"/>
      <w:rPr>
        <w:rStyle w:val="30"/>
      </w:rPr>
    </w:pPr>
    <w:r>
      <w:rPr>
        <w:rStyle w:val="30"/>
      </w:rPr>
      <w:t>第</w:t>
    </w:r>
    <w:r>
      <w:fldChar w:fldCharType="begin"/>
    </w:r>
    <w:r>
      <w:rPr>
        <w:rStyle w:val="30"/>
      </w:rPr>
      <w:instrText xml:space="preserve"> PAGE </w:instrText>
    </w:r>
    <w:r>
      <w:fldChar w:fldCharType="separate"/>
    </w:r>
    <w:r>
      <w:rPr>
        <w:rStyle w:val="30"/>
      </w:rPr>
      <w:t>46</w:t>
    </w:r>
    <w:r>
      <w:fldChar w:fldCharType="end"/>
    </w:r>
    <w:r>
      <w:rPr>
        <w:rStyle w:val="30"/>
      </w:rPr>
      <w:t>页共</w:t>
    </w:r>
    <w:r>
      <w:fldChar w:fldCharType="begin"/>
    </w:r>
    <w:r>
      <w:rPr>
        <w:rStyle w:val="30"/>
      </w:rPr>
      <w:instrText xml:space="preserve"> NUMPAGES </w:instrText>
    </w:r>
    <w:r>
      <w:fldChar w:fldCharType="separate"/>
    </w:r>
    <w:r>
      <w:rPr>
        <w:rStyle w:val="30"/>
      </w:rPr>
      <w:t>62</w:t>
    </w:r>
    <w:r>
      <w:fldChar w:fldCharType="end"/>
    </w:r>
    <w:r>
      <w:rPr>
        <w:rStyle w:val="3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4335">
    <w:pPr>
      <w:pStyle w:val="21"/>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2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2394137">
                          <w:pPr>
                            <w:pStyle w:val="21"/>
                            <w:tabs>
                              <w:tab w:val="clear" w:pos="4153"/>
                              <w:tab w:val="clear" w:pos="8306"/>
                            </w:tabs>
                          </w:pPr>
                          <w:r>
                            <w:fldChar w:fldCharType="begin"/>
                          </w:r>
                          <w:r>
                            <w:instrText xml:space="preserve"> PAGE  \* MERGEFORMAT </w:instrText>
                          </w:r>
                          <w:r>
                            <w:fldChar w:fldCharType="separate"/>
                          </w:r>
                          <w:r>
                            <w:t>48</w:t>
                          </w:r>
                          <w:r>
                            <w:fldChar w:fldCharType="end"/>
                          </w:r>
                        </w:p>
                        <w:p w14:paraId="08842256"/>
                      </w:txbxContent>
                    </wps:txbx>
                    <wps:bodyPr rot="0" vert="horz" wrap="square" lIns="91440" tIns="45720" rIns="91440" bIns="45720" anchor="t" anchorCtr="0"/>
                  </wps:wsp>
                </a:graphicData>
              </a:graphic>
            </wp:anchor>
          </w:drawing>
        </mc:Choice>
        <mc:Fallback>
          <w:pict>
            <v:rect id="_x0000_s1025"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CqOYM26AQAAhgMAAA4AAABkcnMvZTJvRG9jLnhtbK1Ty27bMBC8&#10;F+g/ELzXesBJXcF0DjFSFAjaAGnPAU1RlgDxkV3akvv1XVKKY6SXHKIDtatdDmdmqfXNaHp21ICd&#10;s4IXi5wzbZWrO7sX/M/vuy8rzjBIW8veWS34SSO/2Xz+tB58pUvXur7WwAjEYjV4wdsQfJVlqFpt&#10;JC6c15aKjQMjA6Wwz2qQA6GbPivz/DobHNQenNKI9HU7FfmMCO8BdE3TKb116mC0DRMq6F4GkoRt&#10;55FvEtum0Sr8ahrUgfWCk9KQVjqE4l1cs81aVnuQvu3UTEG+h8IbTUZ2lg49Q21lkOwA3X9QplPg&#10;0DVhoZzJJiHJEVJR5G+8eWyl10kLWY3+bDp+HKz6eXwA1tWCl5xZaWjgT2NOzxMWeXkV/Rk8VtT2&#10;6B9gzpDCKHZswMQ3yWBj8vR09lSPgSn6WKzK1SonuxXVXhLCyV63e8DwXTvDYiA40NCSl/J4j2Fq&#10;fWmhfZHORCBGYdyNM6udq0+kBdw0ZLriFLQO/nI20IAFx+eDBM1Z/8OSg9+K5TLeiJQsr76WlMBl&#10;ZXdZkVYRlOCBsym8D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Ko5gzboBAACGAwAADgAAAAAAAAABACAAAAAiAQAAZHJzL2Uyb0RvYy54bWxQSwUGAAAA&#10;AAYABgBZAQAATgUAAAAA&#10;">
              <v:fill on="f" focussize="0,0"/>
              <v:stroke on="f"/>
              <v:imagedata o:title=""/>
              <o:lock v:ext="edit" aspectratio="f"/>
              <v:textbox>
                <w:txbxContent>
                  <w:p w14:paraId="12394137">
                    <w:pPr>
                      <w:pStyle w:val="21"/>
                      <w:tabs>
                        <w:tab w:val="clear" w:pos="4153"/>
                        <w:tab w:val="clear" w:pos="8306"/>
                      </w:tabs>
                    </w:pPr>
                    <w:r>
                      <w:fldChar w:fldCharType="begin"/>
                    </w:r>
                    <w:r>
                      <w:instrText xml:space="preserve"> PAGE  \* MERGEFORMAT </w:instrText>
                    </w:r>
                    <w:r>
                      <w:fldChar w:fldCharType="separate"/>
                    </w:r>
                    <w:r>
                      <w:t>48</w:t>
                    </w:r>
                    <w:r>
                      <w:fldChar w:fldCharType="end"/>
                    </w:r>
                  </w:p>
                  <w:p w14:paraId="08842256"/>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050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A86D">
    <w:pPr>
      <w:pStyle w:val="21"/>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8148748">
                          <w:pPr>
                            <w:pStyle w:val="21"/>
                            <w:tabs>
                              <w:tab w:val="clear" w:pos="4153"/>
                              <w:tab w:val="clear" w:pos="8306"/>
                            </w:tabs>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62</w:t>
                          </w:r>
                          <w:r>
                            <w:rPr>
                              <w:rFonts w:hint="eastAsia"/>
                            </w:rPr>
                            <w:fldChar w:fldCharType="end"/>
                          </w:r>
                          <w:r>
                            <w:rPr>
                              <w:rFonts w:hint="eastAsia"/>
                            </w:rPr>
                            <w:t xml:space="preserve"> 页</w:t>
                          </w:r>
                        </w:p>
                        <w:p w14:paraId="442B9DA2"/>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WZWKS6AQAAhgMAAA4AAABkcnMvZTJvRG9jLnhtbK1Ty27bMBC8&#10;F+g/ELzXesBNXcFyDjFSBAjaAGnPAU1RFgHxkV3akvv1XVKKY6SXHKIDtaslhzOzq/X1aHp2VIDa&#10;2ZoXi5wzZaVrtN3X/M/v2y8rzjAI24jeWVXzk0J+vfn8aT34SpWuc32jgBGIxWrwNe9C8FWWoeyU&#10;EbhwXlkqtg6MCJTCPmtADIRu+qzM86tscNB4cFIh0tftVOQzIrwH0LWtlmrr5MEoGyZUUL0IJAk7&#10;7ZFvEtu2VTL8altUgfU1J6UhrXQJxbu4Zpu1qPYgfKflTEG8h8IbTUZoS5eeobYiCHYA/R+U0RIc&#10;ujYspDPZJCQ5QiqK/I03j53wKmkhq9GfTcePg5U/jw/AdEOTwJkVhhr+NOb0PGGRl1fRn8FjRdse&#10;/QPMGVIYxY4tmPgmGWxMnp7OnqoxMEkfi1W5WuVkt6TaS0I42etxDxh+KGdYDGoO1LTkpTjeY5i2&#10;vmyhc5HORCBGYdyNM6uda06kBdzUZBpxCjoHfzkbqME1x+eDAMVZf2fJwe/FchknIiXLr99KSuCy&#10;srusCCsJquaBsym8CWmKIr3Ig9qTNM2jFPt/maddr7/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FZlYpLoBAACGAwAADgAAAAAAAAABACAAAAAiAQAAZHJzL2Uyb0RvYy54bWxQSwUGAAAA&#10;AAYABgBZAQAATgUAAAAA&#10;">
              <v:fill on="f" focussize="0,0"/>
              <v:stroke on="f"/>
              <v:imagedata o:title=""/>
              <o:lock v:ext="edit" aspectratio="f"/>
              <v:textbox>
                <w:txbxContent>
                  <w:p w14:paraId="38148748">
                    <w:pPr>
                      <w:pStyle w:val="21"/>
                      <w:tabs>
                        <w:tab w:val="clear" w:pos="4153"/>
                        <w:tab w:val="clear" w:pos="8306"/>
                      </w:tabs>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62</w:t>
                    </w:r>
                    <w:r>
                      <w:rPr>
                        <w:rFonts w:hint="eastAsia"/>
                      </w:rPr>
                      <w:fldChar w:fldCharType="end"/>
                    </w:r>
                    <w:r>
                      <w:rPr>
                        <w:rFonts w:hint="eastAsia"/>
                      </w:rPr>
                      <w:t xml:space="preserve"> 页</w:t>
                    </w:r>
                  </w:p>
                  <w:p w14:paraId="442B9DA2"/>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61165DF1">
      <w:pPr>
        <w:pStyle w:val="25"/>
        <w:rPr>
          <w:rFonts w:hint="eastAsia" w:ascii="仿宋" w:hAnsi="仿宋" w:eastAsia="仿宋"/>
          <w:sz w:val="18"/>
          <w:szCs w:val="18"/>
          <w:lang w:val="en-US" w:eastAsia="zh-CN"/>
        </w:rPr>
      </w:pPr>
      <w:r>
        <w:rPr>
          <w:rFonts w:hint="eastAsia" w:ascii="仿宋" w:hAnsi="仿宋" w:eastAsia="仿宋"/>
          <w:sz w:val="18"/>
          <w:szCs w:val="18"/>
          <w:lang w:val="en-US" w:eastAsia="zh-CN"/>
        </w:rPr>
        <w:footnoteRef/>
      </w:r>
      <w:r>
        <w:rPr>
          <w:rFonts w:hint="eastAsia" w:ascii="仿宋" w:hAnsi="仿宋" w:eastAsia="仿宋"/>
          <w:sz w:val="18"/>
          <w:szCs w:val="18"/>
          <w:lang w:val="en-US" w:eastAsia="zh-CN"/>
        </w:rPr>
        <w:t xml:space="preserve"> </w:t>
      </w:r>
      <w:bookmarkStart w:id="17" w:name="_Hlk130929522"/>
      <w:r>
        <w:rPr>
          <w:rFonts w:hint="eastAsia" w:ascii="仿宋" w:hAnsi="仿宋" w:eastAsia="仿宋"/>
          <w:sz w:val="18"/>
          <w:szCs w:val="18"/>
          <w:lang w:val="en-US" w:eastAsia="zh-CN"/>
        </w:rPr>
        <w:t>适用于授权委托人参加采购活动。</w:t>
      </w:r>
      <w:bookmarkEnd w:id="17"/>
    </w:p>
  </w:footnote>
  <w:footnote w:id="1">
    <w:p w14:paraId="40B7608C">
      <w:pPr>
        <w:pStyle w:val="25"/>
        <w:rPr>
          <w:rFonts w:hint="eastAsia" w:ascii="仿宋" w:hAnsi="仿宋" w:eastAsia="仿宋"/>
          <w:sz w:val="18"/>
          <w:szCs w:val="18"/>
          <w:lang w:val="en-US" w:eastAsia="zh-CN"/>
        </w:rPr>
      </w:pPr>
      <w:r>
        <w:rPr>
          <w:rFonts w:hint="eastAsia" w:ascii="仿宋" w:hAnsi="仿宋" w:eastAsia="仿宋"/>
          <w:sz w:val="18"/>
          <w:szCs w:val="18"/>
          <w:lang w:val="en-US" w:eastAsia="zh-CN"/>
        </w:rPr>
        <w:footnoteRef/>
      </w:r>
      <w:r>
        <w:rPr>
          <w:rFonts w:hint="eastAsia" w:ascii="仿宋" w:hAnsi="仿宋" w:eastAsia="仿宋"/>
          <w:sz w:val="18"/>
          <w:szCs w:val="18"/>
          <w:lang w:val="en-US" w:eastAsia="zh-CN"/>
        </w:rPr>
        <w:t xml:space="preserve"> 适用于法定代表人参加采购活动。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C59F3">
    <w:pPr>
      <w:pStyle w:val="23"/>
      <w:pBdr>
        <w:bottom w:val="none" w:color="auto" w:sz="0" w:space="0"/>
      </w:pBdr>
      <w:tabs>
        <w:tab w:val="clear" w:pos="4153"/>
        <w:tab w:val="clear" w:pos="8306"/>
      </w:tabs>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3301">
    <w:pPr>
      <w:pStyle w:val="23"/>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AFD8">
    <w:pPr>
      <w:pStyle w:val="23"/>
      <w:pBdr>
        <w:bottom w:val="none" w:color="auto" w:sz="0" w:space="0"/>
      </w:pBdr>
      <w:tabs>
        <w:tab w:val="clear" w:pos="4153"/>
        <w:tab w:val="clear" w:pos="8306"/>
      </w:tabs>
      <w:jc w:val="both"/>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63AD5">
    <w:pPr>
      <w:pStyle w:val="23"/>
      <w:pBdr>
        <w:bottom w:val="none" w:color="auto" w:sz="0" w:space="0"/>
      </w:pBdr>
      <w:tabs>
        <w:tab w:val="clear" w:pos="4153"/>
        <w:tab w:val="clear" w:pos="8306"/>
      </w:tabs>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36CC4"/>
    <w:multiLevelType w:val="singleLevel"/>
    <w:tmpl w:val="E3536CC4"/>
    <w:lvl w:ilvl="0" w:tentative="0">
      <w:start w:val="1"/>
      <w:numFmt w:val="decimal"/>
      <w:suff w:val="nothing"/>
      <w:lvlText w:val="%1、"/>
      <w:lvlJc w:val="left"/>
    </w:lvl>
  </w:abstractNum>
  <w:abstractNum w:abstractNumId="1">
    <w:nsid w:val="00000004"/>
    <w:multiLevelType w:val="singleLevel"/>
    <w:tmpl w:val="00000004"/>
    <w:lvl w:ilvl="0" w:tentative="0">
      <w:start w:val="5"/>
      <w:numFmt w:val="chineseCounting"/>
      <w:suff w:val="nothing"/>
      <w:lvlText w:val="%1、"/>
      <w:lvlJc w:val="left"/>
      <w:rPr>
        <w:rFonts w:hint="eastAsia"/>
      </w:rPr>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1A7818DB"/>
    <w:multiLevelType w:val="singleLevel"/>
    <w:tmpl w:val="1A7818DB"/>
    <w:lvl w:ilvl="0" w:tentative="0">
      <w:start w:val="1"/>
      <w:numFmt w:val="decimal"/>
      <w:suff w:val="nothing"/>
      <w:lvlText w:val="%1、"/>
      <w:lvlJc w:val="left"/>
      <w:pPr>
        <w:ind w:left="10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footnotePr>
    <w:footnote w:id="4"/>
    <w:footnote w:id="5"/>
  </w:footnotePr>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ZDY5MmE5NDQwN2RjYWU4OTU0MzUxODFhYzQ1ZWJmZGQifQ=="/>
  </w:docVars>
  <w:rsids>
    <w:rsidRoot w:val="00000000"/>
    <w:rsid w:val="0C0A6A77"/>
    <w:rsid w:val="4AA37019"/>
    <w:rsid w:val="57317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7"/>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21"/>
    <w:basedOn w:val="1"/>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customStyle="1" w:styleId="5">
    <w:name w:val="标题 31"/>
    <w:basedOn w:val="1"/>
    <w:qFormat/>
    <w:uiPriority w:val="0"/>
    <w:pPr>
      <w:keepNext/>
      <w:keepLines/>
      <w:spacing w:before="260" w:after="260" w:line="416" w:lineRule="auto"/>
      <w:outlineLvl w:val="2"/>
    </w:pPr>
    <w:rPr>
      <w:rFonts w:ascii="Calibri" w:hAnsi="Calibri" w:eastAsia="宋体"/>
      <w:b/>
      <w:bCs/>
      <w:kern w:val="0"/>
      <w:sz w:val="32"/>
      <w:szCs w:val="32"/>
    </w:rPr>
  </w:style>
  <w:style w:type="paragraph" w:customStyle="1" w:styleId="6">
    <w:name w:val="标题 41"/>
    <w:basedOn w:val="1"/>
    <w:qFormat/>
    <w:uiPriority w:val="0"/>
    <w:pPr>
      <w:widowControl/>
      <w:spacing w:before="100" w:beforeAutospacing="1" w:after="100" w:afterAutospacing="1"/>
      <w:jc w:val="left"/>
      <w:outlineLvl w:val="3"/>
    </w:pPr>
    <w:rPr>
      <w:rFonts w:ascii="宋体" w:hAnsi="宋体" w:eastAsia="宋体"/>
      <w:b/>
      <w:bCs/>
      <w:kern w:val="0"/>
      <w:sz w:val="24"/>
    </w:rPr>
  </w:style>
  <w:style w:type="paragraph" w:customStyle="1" w:styleId="7">
    <w:name w:val="标题 51"/>
    <w:basedOn w:val="1"/>
    <w:link w:val="11"/>
    <w:qFormat/>
    <w:uiPriority w:val="0"/>
    <w:pPr>
      <w:widowControl/>
      <w:spacing w:before="100" w:beforeAutospacing="1" w:after="100" w:afterAutospacing="1"/>
      <w:jc w:val="left"/>
      <w:outlineLvl w:val="4"/>
    </w:pPr>
    <w:rPr>
      <w:rFonts w:ascii="宋体" w:hAnsi="宋体" w:eastAsia="宋体"/>
      <w:b/>
      <w:bCs/>
      <w:kern w:val="0"/>
      <w:sz w:val="20"/>
      <w:szCs w:val="20"/>
    </w:rPr>
  </w:style>
  <w:style w:type="paragraph" w:customStyle="1" w:styleId="8">
    <w:name w:val="标题 71"/>
    <w:basedOn w:val="1"/>
    <w:qFormat/>
    <w:uiPriority w:val="0"/>
    <w:pPr>
      <w:jc w:val="center"/>
      <w:outlineLvl w:val="6"/>
    </w:pPr>
    <w:rPr>
      <w:rFonts w:ascii="宋体" w:hAnsi="宋体" w:eastAsia="宋体"/>
      <w:sz w:val="24"/>
      <w:szCs w:val="24"/>
      <w:lang w:val="zh-CN" w:eastAsia="zh-CN" w:bidi="zh-CN"/>
    </w:rPr>
  </w:style>
  <w:style w:type="character" w:customStyle="1" w:styleId="9">
    <w:name w:val="默认段落字体1"/>
    <w:link w:val="1"/>
    <w:qFormat/>
    <w:uiPriority w:val="0"/>
    <w:rPr>
      <w:rFonts w:ascii="Calibri" w:hAnsi="Calibri" w:eastAsia="宋体"/>
    </w:rPr>
  </w:style>
  <w:style w:type="table" w:customStyle="1" w:styleId="10">
    <w:name w:val="普通表格1"/>
    <w:qFormat/>
    <w:uiPriority w:val="0"/>
    <w:rPr>
      <w:rFonts w:ascii="Calibri" w:hAnsi="Calibri" w:eastAsia="宋体"/>
    </w:rPr>
  </w:style>
  <w:style w:type="character" w:customStyle="1" w:styleId="11">
    <w:name w:val="标题 5 字符"/>
    <w:link w:val="7"/>
    <w:qFormat/>
    <w:uiPriority w:val="0"/>
    <w:rPr>
      <w:rFonts w:ascii="宋体" w:hAnsi="宋体" w:eastAsia="宋体"/>
      <w:b/>
      <w:bCs/>
    </w:rPr>
  </w:style>
  <w:style w:type="paragraph" w:customStyle="1" w:styleId="12">
    <w:name w:val="批注文字1"/>
    <w:basedOn w:val="1"/>
    <w:link w:val="13"/>
    <w:qFormat/>
    <w:uiPriority w:val="0"/>
    <w:pPr>
      <w:jc w:val="left"/>
    </w:pPr>
    <w:rPr>
      <w:rFonts w:ascii="Calibri" w:hAnsi="Calibri" w:eastAsia="宋体"/>
      <w:kern w:val="0"/>
    </w:rPr>
  </w:style>
  <w:style w:type="character" w:customStyle="1" w:styleId="13">
    <w:name w:val="批注文字 字符"/>
    <w:link w:val="12"/>
    <w:qFormat/>
    <w:uiPriority w:val="0"/>
    <w:rPr>
      <w:rFonts w:ascii="Times New Roman" w:hAnsi="Times New Roman" w:eastAsia="宋体"/>
      <w:sz w:val="21"/>
      <w:szCs w:val="21"/>
    </w:rPr>
  </w:style>
  <w:style w:type="paragraph" w:customStyle="1" w:styleId="14">
    <w:name w:val="正文文本1"/>
    <w:basedOn w:val="1"/>
    <w:link w:val="15"/>
    <w:qFormat/>
    <w:uiPriority w:val="0"/>
    <w:pPr>
      <w:spacing w:line="300" w:lineRule="auto"/>
      <w:jc w:val="center"/>
    </w:pPr>
    <w:rPr>
      <w:rFonts w:ascii="Calibri" w:hAnsi="Calibri" w:eastAsia="宋体"/>
      <w:b/>
      <w:bCs/>
      <w:sz w:val="44"/>
      <w:szCs w:val="24"/>
    </w:rPr>
  </w:style>
  <w:style w:type="character" w:customStyle="1" w:styleId="15">
    <w:name w:val="正文文本 字符"/>
    <w:link w:val="14"/>
    <w:qFormat/>
    <w:uiPriority w:val="0"/>
    <w:rPr>
      <w:rFonts w:ascii="Times New Roman" w:hAnsi="Times New Roman" w:eastAsia="宋体"/>
      <w:b/>
      <w:bCs/>
      <w:kern w:val="2"/>
      <w:sz w:val="44"/>
      <w:szCs w:val="24"/>
    </w:rPr>
  </w:style>
  <w:style w:type="paragraph" w:customStyle="1" w:styleId="16">
    <w:name w:val="正文文本缩进1"/>
    <w:basedOn w:val="1"/>
    <w:qFormat/>
    <w:uiPriority w:val="0"/>
    <w:pPr>
      <w:spacing w:after="120"/>
      <w:ind w:left="200" w:leftChars="200"/>
    </w:pPr>
    <w:rPr>
      <w:rFonts w:ascii="Calibri" w:hAnsi="Calibri" w:eastAsia="宋体"/>
    </w:rPr>
  </w:style>
  <w:style w:type="paragraph" w:customStyle="1" w:styleId="17">
    <w:name w:val="寄信人地址1"/>
    <w:basedOn w:val="1"/>
    <w:qFormat/>
    <w:uiPriority w:val="0"/>
    <w:pPr>
      <w:snapToGrid w:val="0"/>
    </w:pPr>
    <w:rPr>
      <w:rFonts w:ascii="Arial" w:hAnsi="Arial" w:eastAsia="宋体"/>
    </w:rPr>
  </w:style>
  <w:style w:type="paragraph" w:customStyle="1" w:styleId="18">
    <w:name w:val="索引 41"/>
    <w:basedOn w:val="1"/>
    <w:qFormat/>
    <w:uiPriority w:val="0"/>
    <w:pPr>
      <w:ind w:left="600" w:leftChars="600"/>
    </w:pPr>
    <w:rPr>
      <w:rFonts w:ascii="Calibri" w:hAnsi="Calibri" w:eastAsia="宋体"/>
      <w:szCs w:val="24"/>
    </w:rPr>
  </w:style>
  <w:style w:type="paragraph" w:customStyle="1" w:styleId="19">
    <w:name w:val="纯文本1"/>
    <w:basedOn w:val="1"/>
    <w:qFormat/>
    <w:uiPriority w:val="0"/>
    <w:rPr>
      <w:rFonts w:ascii="宋体" w:hAnsi="Courier New" w:eastAsia="宋体"/>
      <w:kern w:val="0"/>
      <w:szCs w:val="20"/>
    </w:rPr>
  </w:style>
  <w:style w:type="paragraph" w:customStyle="1" w:styleId="20">
    <w:name w:val="正文文本缩进 21"/>
    <w:basedOn w:val="1"/>
    <w:qFormat/>
    <w:uiPriority w:val="0"/>
    <w:pPr>
      <w:spacing w:after="120" w:line="480" w:lineRule="auto"/>
      <w:ind w:left="420" w:leftChars="200"/>
    </w:pPr>
  </w:style>
  <w:style w:type="paragraph" w:customStyle="1" w:styleId="21">
    <w:name w:val="页脚1"/>
    <w:basedOn w:val="1"/>
    <w:link w:val="22"/>
    <w:uiPriority w:val="0"/>
    <w:pPr>
      <w:tabs>
        <w:tab w:val="center" w:pos="4153"/>
        <w:tab w:val="right" w:pos="8306"/>
      </w:tabs>
      <w:snapToGrid w:val="0"/>
      <w:jc w:val="left"/>
    </w:pPr>
    <w:rPr>
      <w:rFonts w:ascii="Calibri" w:hAnsi="Calibri" w:eastAsia="宋体"/>
      <w:kern w:val="0"/>
      <w:sz w:val="18"/>
      <w:szCs w:val="20"/>
    </w:rPr>
  </w:style>
  <w:style w:type="character" w:customStyle="1" w:styleId="22">
    <w:name w:val="页脚 字符"/>
    <w:link w:val="21"/>
    <w:uiPriority w:val="0"/>
    <w:rPr>
      <w:rFonts w:ascii="Times New Roman" w:hAnsi="Times New Roman" w:eastAsia="宋体"/>
      <w:sz w:val="18"/>
    </w:rPr>
  </w:style>
  <w:style w:type="paragraph" w:customStyle="1" w:styleId="23">
    <w:name w:val="页眉1"/>
    <w:basedOn w:val="1"/>
    <w:link w:val="24"/>
    <w:qFormat/>
    <w:uiPriority w:val="0"/>
    <w:pPr>
      <w:pBdr>
        <w:bottom w:val="single" w:color="auto" w:sz="6" w:space="1"/>
      </w:pBdr>
      <w:tabs>
        <w:tab w:val="center" w:pos="4153"/>
        <w:tab w:val="right" w:pos="8306"/>
      </w:tabs>
      <w:snapToGrid w:val="0"/>
      <w:jc w:val="center"/>
    </w:pPr>
    <w:rPr>
      <w:rFonts w:ascii="Calibri" w:hAnsi="Calibri" w:eastAsia="宋体"/>
      <w:kern w:val="0"/>
      <w:sz w:val="18"/>
      <w:szCs w:val="20"/>
    </w:rPr>
  </w:style>
  <w:style w:type="character" w:customStyle="1" w:styleId="24">
    <w:name w:val="页眉 字符"/>
    <w:link w:val="23"/>
    <w:uiPriority w:val="0"/>
    <w:rPr>
      <w:rFonts w:ascii="Times New Roman" w:hAnsi="Times New Roman" w:eastAsia="宋体"/>
      <w:sz w:val="18"/>
    </w:rPr>
  </w:style>
  <w:style w:type="paragraph" w:customStyle="1" w:styleId="25">
    <w:name w:val="脚注文本1"/>
    <w:basedOn w:val="1"/>
    <w:qFormat/>
    <w:uiPriority w:val="0"/>
    <w:pPr>
      <w:snapToGrid w:val="0"/>
      <w:jc w:val="left"/>
    </w:pPr>
    <w:rPr>
      <w:rFonts w:ascii="Calibri" w:hAnsi="Calibri" w:eastAsia="宋体"/>
      <w:sz w:val="18"/>
    </w:rPr>
  </w:style>
  <w:style w:type="paragraph" w:customStyle="1" w:styleId="26">
    <w:name w:val="目录 21"/>
    <w:basedOn w:val="1"/>
    <w:qFormat/>
    <w:uiPriority w:val="0"/>
    <w:pPr>
      <w:tabs>
        <w:tab w:val="right" w:leader="dot" w:pos="9629"/>
      </w:tabs>
    </w:pPr>
    <w:rPr>
      <w:rFonts w:ascii="楷体_GB2312" w:hAnsi="新宋体" w:eastAsia="楷体_GB2312"/>
      <w:sz w:val="28"/>
      <w:szCs w:val="28"/>
    </w:rPr>
  </w:style>
  <w:style w:type="paragraph" w:customStyle="1" w:styleId="27">
    <w:name w:val="普通(网站)1"/>
    <w:basedOn w:val="1"/>
    <w:qFormat/>
    <w:uiPriority w:val="0"/>
    <w:pPr>
      <w:widowControl/>
      <w:jc w:val="left"/>
    </w:pPr>
    <w:rPr>
      <w:rFonts w:ascii="宋体" w:hAnsi="宋体" w:eastAsia="宋体"/>
      <w:kern w:val="0"/>
      <w:sz w:val="24"/>
      <w:szCs w:val="24"/>
    </w:rPr>
  </w:style>
  <w:style w:type="paragraph" w:customStyle="1" w:styleId="28">
    <w:name w:val="正文首行缩进 21"/>
    <w:basedOn w:val="16"/>
    <w:qFormat/>
    <w:uiPriority w:val="0"/>
    <w:pPr>
      <w:ind w:left="420" w:firstLine="420" w:firstLineChars="200"/>
    </w:pPr>
    <w:rPr>
      <w:rFonts w:ascii="Calibri" w:hAnsi="Calibri" w:eastAsia="宋体"/>
    </w:rPr>
  </w:style>
  <w:style w:type="table" w:customStyle="1" w:styleId="29">
    <w:name w:val="网格型1"/>
    <w:basedOn w:val="10"/>
    <w:qFormat/>
    <w:uiPriority w:val="0"/>
    <w:pPr>
      <w:widowControl w:val="0"/>
      <w:jc w:val="both"/>
    </w:pPr>
    <w:rPr>
      <w:rFonts w:ascii="Calibri" w:hAnsi="Calibri" w:eastAsia="宋体"/>
    </w:rPr>
  </w:style>
  <w:style w:type="character" w:customStyle="1" w:styleId="30">
    <w:name w:val="页码1"/>
    <w:link w:val="1"/>
    <w:uiPriority w:val="0"/>
    <w:rPr>
      <w:rFonts w:ascii="Calibri" w:hAnsi="Calibri" w:eastAsia="宋体"/>
    </w:rPr>
  </w:style>
  <w:style w:type="character" w:customStyle="1" w:styleId="31">
    <w:name w:val="已访问的超链接1"/>
    <w:link w:val="1"/>
    <w:qFormat/>
    <w:uiPriority w:val="0"/>
    <w:rPr>
      <w:color w:val="800080"/>
      <w:u w:val="none"/>
    </w:rPr>
  </w:style>
  <w:style w:type="character" w:customStyle="1" w:styleId="32">
    <w:name w:val="HTML 定义1"/>
    <w:link w:val="1"/>
    <w:qFormat/>
    <w:uiPriority w:val="0"/>
  </w:style>
  <w:style w:type="character" w:customStyle="1" w:styleId="33">
    <w:name w:val="HTML 打字机1"/>
    <w:link w:val="1"/>
    <w:qFormat/>
    <w:uiPriority w:val="0"/>
    <w:rPr>
      <w:rFonts w:ascii="monospace" w:hAnsi="monospace" w:eastAsia="monospace"/>
      <w:sz w:val="20"/>
    </w:rPr>
  </w:style>
  <w:style w:type="character" w:customStyle="1" w:styleId="34">
    <w:name w:val="HTML 缩写1"/>
    <w:link w:val="1"/>
    <w:qFormat/>
    <w:uiPriority w:val="0"/>
  </w:style>
  <w:style w:type="character" w:customStyle="1" w:styleId="35">
    <w:name w:val="HTML 变量1"/>
    <w:link w:val="1"/>
    <w:qFormat/>
    <w:uiPriority w:val="0"/>
  </w:style>
  <w:style w:type="character" w:customStyle="1" w:styleId="36">
    <w:name w:val="超链接1"/>
    <w:link w:val="1"/>
    <w:qFormat/>
    <w:uiPriority w:val="0"/>
    <w:rPr>
      <w:rFonts w:ascii="Calibri" w:hAnsi="Calibri" w:eastAsia="宋体"/>
      <w:color w:val="0000FF"/>
      <w:u w:val="none"/>
    </w:rPr>
  </w:style>
  <w:style w:type="character" w:customStyle="1" w:styleId="37">
    <w:name w:val="HTML 代码1"/>
    <w:link w:val="1"/>
    <w:qFormat/>
    <w:uiPriority w:val="0"/>
    <w:rPr>
      <w:rFonts w:ascii="monospace" w:hAnsi="monospace" w:eastAsia="monospace"/>
      <w:sz w:val="20"/>
    </w:rPr>
  </w:style>
  <w:style w:type="character" w:customStyle="1" w:styleId="38">
    <w:name w:val="批注引用1"/>
    <w:link w:val="1"/>
    <w:qFormat/>
    <w:uiPriority w:val="0"/>
    <w:rPr>
      <w:rFonts w:ascii="Calibri" w:hAnsi="Calibri" w:eastAsia="宋体"/>
      <w:sz w:val="21"/>
    </w:rPr>
  </w:style>
  <w:style w:type="character" w:customStyle="1" w:styleId="39">
    <w:name w:val="HTML 引文1"/>
    <w:link w:val="1"/>
    <w:qFormat/>
    <w:uiPriority w:val="0"/>
  </w:style>
  <w:style w:type="character" w:customStyle="1" w:styleId="40">
    <w:name w:val="脚注引用1"/>
    <w:basedOn w:val="9"/>
    <w:link w:val="1"/>
    <w:qFormat/>
    <w:uiPriority w:val="0"/>
    <w:rPr>
      <w:rFonts w:ascii="Calibri" w:hAnsi="Calibri" w:eastAsia="宋体"/>
      <w:vertAlign w:val="superscript"/>
    </w:rPr>
  </w:style>
  <w:style w:type="character" w:customStyle="1" w:styleId="41">
    <w:name w:val="HTML 键盘1"/>
    <w:link w:val="1"/>
    <w:qFormat/>
    <w:uiPriority w:val="0"/>
    <w:rPr>
      <w:rFonts w:ascii="monospace" w:hAnsi="monospace" w:eastAsia="monospace"/>
      <w:sz w:val="20"/>
    </w:rPr>
  </w:style>
  <w:style w:type="character" w:customStyle="1" w:styleId="42">
    <w:name w:val="HTML 样本1"/>
    <w:link w:val="1"/>
    <w:qFormat/>
    <w:uiPriority w:val="0"/>
    <w:rPr>
      <w:rFonts w:ascii="monospace" w:hAnsi="monospace" w:eastAsia="monospace"/>
    </w:rPr>
  </w:style>
  <w:style w:type="paragraph" w:customStyle="1" w:styleId="43">
    <w:name w:val="首行缩进"/>
    <w:basedOn w:val="1"/>
    <w:qFormat/>
    <w:uiPriority w:val="0"/>
    <w:pPr>
      <w:ind w:firstLine="480" w:firstLineChars="200"/>
    </w:pPr>
    <w:rPr>
      <w:rFonts w:ascii="宋体" w:hAnsi="宋体"/>
      <w:kern w:val="0"/>
    </w:rPr>
  </w:style>
  <w:style w:type="paragraph" w:customStyle="1" w:styleId="44">
    <w:name w:val="无间隔"/>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列表段落"/>
    <w:basedOn w:val="1"/>
    <w:qFormat/>
    <w:uiPriority w:val="0"/>
    <w:pPr>
      <w:ind w:firstLine="420" w:firstLineChars="200"/>
    </w:pPr>
    <w:rPr>
      <w:rFonts w:ascii="Calibri" w:hAnsi="Calibri" w:eastAsia="宋体"/>
      <w:szCs w:val="22"/>
    </w:rPr>
  </w:style>
  <w:style w:type="paragraph" w:customStyle="1" w:styleId="47">
    <w:name w:val="Body text|1"/>
    <w:basedOn w:val="1"/>
    <w:qFormat/>
    <w:uiPriority w:val="0"/>
    <w:pPr>
      <w:spacing w:line="415" w:lineRule="auto"/>
      <w:ind w:firstLine="400"/>
    </w:pPr>
    <w:rPr>
      <w:rFonts w:ascii="宋体" w:hAnsi="宋体" w:eastAsia="宋体"/>
      <w:color w:val="44505D"/>
      <w:sz w:val="28"/>
      <w:szCs w:val="28"/>
      <w:lang w:val="zh-TW" w:eastAsia="zh-TW" w:bidi="zh-TW"/>
    </w:rPr>
  </w:style>
  <w:style w:type="paragraph" w:customStyle="1" w:styleId="48">
    <w:name w:val="Table Paragraph"/>
    <w:basedOn w:val="1"/>
    <w:uiPriority w:val="0"/>
    <w:pPr>
      <w:autoSpaceDE w:val="0"/>
      <w:autoSpaceDN w:val="0"/>
      <w:jc w:val="left"/>
    </w:pPr>
    <w:rPr>
      <w:rFonts w:ascii="宋体" w:hAnsi="宋体" w:eastAsia="宋体"/>
      <w:kern w:val="0"/>
      <w:sz w:val="22"/>
      <w:szCs w:val="22"/>
      <w:lang w:eastAsia="en-US"/>
    </w:rPr>
  </w:style>
  <w:style w:type="paragraph" w:customStyle="1" w:styleId="49">
    <w:name w:val="Body text|5"/>
    <w:basedOn w:val="1"/>
    <w:qFormat/>
    <w:uiPriority w:val="0"/>
    <w:pPr>
      <w:ind w:hanging="1840"/>
    </w:pPr>
    <w:rPr>
      <w:rFonts w:ascii="Calibri" w:hAnsi="Calibri" w:eastAsia="宋体"/>
      <w:sz w:val="10"/>
      <w:szCs w:val="10"/>
      <w:u w:val="single"/>
      <w:lang w:val="zh-CN"/>
    </w:rPr>
  </w:style>
  <w:style w:type="paragraph" w:customStyle="1" w:styleId="50">
    <w:name w:val="Normal_0"/>
    <w:qFormat/>
    <w:uiPriority w:val="0"/>
    <w:rPr>
      <w:rFonts w:ascii="Calibri" w:hAnsi="Calibri" w:eastAsia="宋体" w:cs="Times New Roman"/>
      <w:sz w:val="24"/>
      <w:szCs w:val="24"/>
      <w:lang w:val="en-US" w:eastAsia="zh-CN" w:bidi="ar-SA"/>
    </w:rPr>
  </w:style>
  <w:style w:type="table" w:customStyle="1" w:styleId="51">
    <w:name w:val="Table Normal"/>
    <w:qFormat/>
    <w:uiPriority w:val="0"/>
    <w:pPr>
      <w:widowControl w:val="0"/>
      <w:autoSpaceDE w:val="0"/>
      <w:autoSpaceDN w:val="0"/>
    </w:pPr>
    <w:rPr>
      <w:rFonts w:ascii="Calibri" w:hAnsi="Calibri"/>
      <w:sz w:val="22"/>
      <w:szCs w:val="22"/>
      <w:lang w:val="en-US" w:eastAsia="en-US" w:bidi="ar-SA"/>
    </w:rPr>
  </w:style>
  <w:style w:type="paragraph" w:customStyle="1" w:styleId="52">
    <w:name w:val="Default"/>
    <w:qFormat/>
    <w:uiPriority w:val="0"/>
    <w:pPr>
      <w:widowControl w:val="0"/>
      <w:autoSpaceDE w:val="0"/>
      <w:autoSpaceDN w:val="0"/>
    </w:pPr>
    <w:rPr>
      <w:rFonts w:ascii="仿宋" w:hAnsi="Times New Roman" w:eastAsia="仿宋" w:cs="Times New Roman"/>
      <w:color w:val="000000"/>
      <w:sz w:val="24"/>
      <w:szCs w:val="24"/>
      <w:lang w:val="en-US" w:eastAsia="zh-CN" w:bidi="ar-SA"/>
    </w:rPr>
  </w:style>
  <w:style w:type="paragraph" w:customStyle="1" w:styleId="5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Table Text"/>
    <w:basedOn w:val="1"/>
    <w:semiHidden/>
    <w:qFormat/>
    <w:uiPriority w:val="0"/>
    <w:rPr>
      <w:rFonts w:ascii="仿宋" w:hAnsi="仿宋" w:eastAsia="仿宋"/>
      <w:sz w:val="24"/>
      <w:szCs w:val="24"/>
      <w:lang w:val="en-US" w:eastAsia="en-US" w:bidi="ar-SA"/>
    </w:rPr>
  </w:style>
  <w:style w:type="paragraph" w:customStyle="1" w:styleId="55">
    <w:name w:val="默认"/>
    <w:qFormat/>
    <w:uiPriority w:val="0"/>
    <w:rPr>
      <w:rFonts w:hint="eastAsia" w:ascii="Arial Unicode MS" w:hAnsi="Arial Unicode MS" w:eastAsia="Helvetica Neue" w:cs="Times New Roman"/>
      <w:color w:val="000000"/>
      <w:sz w:val="22"/>
      <w:szCs w:val="22"/>
      <w:lang w:val="zh-TW" w:eastAsia="zh-TW" w:bidi="ar-SA"/>
    </w:rPr>
  </w:style>
  <w:style w:type="paragraph" w:customStyle="1" w:styleId="56">
    <w:name w:val="p0"/>
    <w:basedOn w:val="1"/>
    <w:qFormat/>
    <w:uiPriority w:val="0"/>
    <w:pPr>
      <w:widowControl/>
    </w:pPr>
    <w:rPr>
      <w:rFonts w:hint="eastAsia"/>
    </w:rPr>
  </w:style>
  <w:style w:type="character" w:customStyle="1" w:styleId="57">
    <w:name w:val="15"/>
    <w:basedOn w:val="9"/>
    <w:link w:val="1"/>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16148</Words>
  <Characters>16741</Characters>
  <Lines>0</Lines>
  <Paragraphs>0</Paragraphs>
  <TotalTime>0</TotalTime>
  <ScaleCrop>false</ScaleCrop>
  <LinksUpToDate>false</LinksUpToDate>
  <CharactersWithSpaces>17282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2024-08-22T07:18:00Z</dcterms:created>
  <dc:creator>Jrrrrr</dc:creator>
  <cp:lastModifiedBy>Jrrrrr</cp:lastModifiedBy>
  <dcterms:modified xsi:type="dcterms:W3CDTF">2024-08-22T07:47:41Z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2998995EBB1747C9999C39C96FE86152_12</vt:lpwstr>
  </property>
</Properties>
</file>